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>“一带一路”背景下我国西部地区的发展战略研究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>中国文化创意产品出口的困境与对策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>跨境电子商务推动贸易便利化改革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val="en-US" w:eastAsia="zh-CN"/>
        </w:rPr>
        <w:t>中韩自贸区的建立对我国服务贸易的影响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val="en-US" w:eastAsia="zh-CN"/>
        </w:rPr>
        <w:t>“一带一路”战略支持助推民营企业“走出去”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val="en-US" w:eastAsia="zh-CN"/>
        </w:rPr>
        <w:t>人民币汇率波动对我国企业国际化的影响及对策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  <w:lang w:val="en-US" w:eastAsia="zh-CN"/>
        </w:rPr>
        <w:t>中小企业“走出去”融资风险与控制研究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  <w:lang w:val="en-US" w:eastAsia="zh-CN"/>
        </w:rPr>
        <w:t>我国服务贸易国际竞争力的现状分析与对策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  <w:lang w:val="en-US" w:eastAsia="zh-CN"/>
        </w:rPr>
        <w:t>“一带一路”背景下FDI对我国就业影响的分析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  <w:lang w:val="en-US" w:eastAsia="zh-CN"/>
        </w:rPr>
        <w:t>中国文化贸易竞争力研究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</w:t>
      </w:r>
      <w:r>
        <w:rPr>
          <w:rFonts w:hint="eastAsia"/>
          <w:sz w:val="28"/>
          <w:szCs w:val="28"/>
          <w:lang w:val="en-US" w:eastAsia="zh-CN"/>
        </w:rPr>
        <w:t>中国服务贸易比较优势研究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</w:t>
      </w:r>
      <w:r>
        <w:rPr>
          <w:rFonts w:hint="eastAsia"/>
          <w:sz w:val="28"/>
          <w:szCs w:val="28"/>
          <w:lang w:val="en-US" w:eastAsia="zh-CN"/>
        </w:rPr>
        <w:t>产业结构转型升级对我国参与全球价值链分工的影响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13.</w:t>
      </w:r>
      <w:r>
        <w:rPr>
          <w:rFonts w:hint="eastAsia"/>
          <w:sz w:val="28"/>
          <w:szCs w:val="28"/>
          <w:lang w:val="en-US" w:eastAsia="zh-CN"/>
        </w:rPr>
        <w:t>技术创新推动中国企业“走出去”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14.</w:t>
      </w:r>
      <w:r>
        <w:rPr>
          <w:rFonts w:hint="eastAsia"/>
          <w:sz w:val="28"/>
          <w:szCs w:val="28"/>
          <w:lang w:val="en-US" w:eastAsia="zh-CN"/>
        </w:rPr>
        <w:t>绿色壁垒对我国出口的影响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15.</w:t>
      </w:r>
      <w:r>
        <w:rPr>
          <w:rFonts w:hint="eastAsia"/>
          <w:sz w:val="28"/>
          <w:szCs w:val="28"/>
          <w:lang w:val="en-US" w:eastAsia="zh-CN"/>
        </w:rPr>
        <w:t>中国FDI的现状及发展趋势研究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16.</w:t>
      </w:r>
      <w:r>
        <w:rPr>
          <w:rFonts w:hint="eastAsia"/>
          <w:sz w:val="28"/>
          <w:szCs w:val="28"/>
          <w:lang w:val="en-US" w:eastAsia="zh-CN"/>
        </w:rPr>
        <w:t>我国中小企业国际贸易融资的问题与对策</w:t>
      </w:r>
      <w:bookmarkStart w:id="0" w:name="_GoBack"/>
      <w:bookmarkEnd w:id="0"/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17.</w:t>
      </w:r>
      <w:r>
        <w:rPr>
          <w:rFonts w:hint="eastAsia"/>
          <w:sz w:val="28"/>
          <w:szCs w:val="28"/>
          <w:lang w:val="en-US" w:eastAsia="zh-CN"/>
        </w:rPr>
        <w:t>低碳贸易推动我国产业结构转型升级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18.</w:t>
      </w:r>
      <w:r>
        <w:rPr>
          <w:rFonts w:hint="eastAsia"/>
          <w:sz w:val="28"/>
          <w:szCs w:val="28"/>
          <w:lang w:val="en-US" w:eastAsia="zh-CN"/>
        </w:rPr>
        <w:t>“一带一路”背景下我国旅游业国际竞争力分析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19.</w:t>
      </w:r>
      <w:r>
        <w:rPr>
          <w:rFonts w:hint="eastAsia"/>
          <w:sz w:val="28"/>
          <w:szCs w:val="28"/>
          <w:lang w:val="en-US" w:eastAsia="zh-CN"/>
        </w:rPr>
        <w:t>雾霾治理对我国贸易结构优化的启示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20.</w:t>
      </w:r>
      <w:r>
        <w:rPr>
          <w:rFonts w:hint="eastAsia"/>
          <w:sz w:val="28"/>
          <w:szCs w:val="28"/>
          <w:lang w:val="en-US" w:eastAsia="zh-CN"/>
        </w:rPr>
        <w:t>传统企业的互联网转型推动我国对外贸易增长方式的转变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372</Words>
  <Characters>407</Characters>
  <Application>WPS Office</Application>
  <DocSecurity>0</DocSecurity>
  <Paragraphs>21</Paragraphs>
  <ScaleCrop>false</ScaleCrop>
  <LinksUpToDate>false</LinksUpToDate>
  <CharactersWithSpaces>407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2016-11-27T09:19:00Z</dcterms:created>
  <dc:creator>lxdn</dc:creator>
  <lastModifiedBy>MI NOTE LTE</lastModifiedBy>
  <dcterms:modified xsi:type="dcterms:W3CDTF">2016-11-27T13:57:54Z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