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ind w:firstLine="0" w:firstLineChars="0"/>
        <w:jc w:val="left"/>
        <w:rPr>
          <w:rFonts w:ascii="宋体" w:hAnsi="宋体" w:eastAsia="宋体" w:cs="宋体"/>
          <w:b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附件2：           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bidi="ar"/>
        </w:rPr>
        <w:t>“理解</w:t>
      </w:r>
      <w:r>
        <w:rPr>
          <w:rFonts w:ascii="宋体" w:hAnsi="宋体" w:eastAsia="宋体" w:cs="宋体"/>
          <w:b/>
          <w:kern w:val="0"/>
          <w:sz w:val="28"/>
          <w:szCs w:val="28"/>
          <w:lang w:bidi="ar"/>
        </w:rPr>
        <w:t>世界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bidi="ar"/>
        </w:rPr>
        <w:t>”系列</w:t>
      </w:r>
      <w:r>
        <w:rPr>
          <w:rFonts w:ascii="宋体" w:hAnsi="宋体" w:eastAsia="宋体" w:cs="宋体"/>
          <w:b/>
          <w:kern w:val="0"/>
          <w:sz w:val="28"/>
          <w:szCs w:val="28"/>
          <w:lang w:bidi="ar"/>
        </w:rPr>
        <w:t>之“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bidi="ar"/>
        </w:rPr>
        <w:t>谁是</w:t>
      </w:r>
      <w:r>
        <w:rPr>
          <w:rFonts w:ascii="宋体" w:hAnsi="宋体" w:eastAsia="宋体" w:cs="宋体"/>
          <w:b/>
          <w:kern w:val="0"/>
          <w:sz w:val="28"/>
          <w:szCs w:val="28"/>
          <w:lang w:bidi="ar"/>
        </w:rPr>
        <w:t>理想的经济伙伴”</w:t>
      </w:r>
    </w:p>
    <w:p>
      <w:pPr>
        <w:pStyle w:val="6"/>
        <w:spacing w:line="360" w:lineRule="auto"/>
        <w:ind w:firstLine="0" w:firstLineChars="0"/>
        <w:jc w:val="center"/>
        <w:rPr>
          <w:rFonts w:ascii="宋体" w:hAnsi="宋体" w:eastAsia="宋体" w:cs="宋体"/>
          <w:b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bidi="ar"/>
        </w:rPr>
        <w:t>参考</w:t>
      </w:r>
      <w:r>
        <w:rPr>
          <w:rFonts w:ascii="宋体" w:hAnsi="宋体" w:eastAsia="宋体" w:cs="宋体"/>
          <w:b/>
          <w:kern w:val="0"/>
          <w:sz w:val="28"/>
          <w:szCs w:val="28"/>
          <w:lang w:bidi="ar"/>
        </w:rPr>
        <w:t>话题</w:t>
      </w:r>
    </w:p>
    <w:p>
      <w:pPr>
        <w:pStyle w:val="6"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我们提供了一些可能适合你研究或给你提示以备陈述的话题。此外，其他任何关于研讨会主题的话题也同样受欢迎。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1.双边贸易发展；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2.双边投资发展；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.“一带一路”下新的贸易潜力；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4.产业间和产业内贸易；</w:t>
      </w:r>
    </w:p>
    <w:p>
      <w:pPr>
        <w:spacing w:line="360" w:lineRule="auto"/>
        <w:ind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5.初级商品贸易和前景。</w:t>
      </w:r>
    </w:p>
    <w:p>
      <w:pPr>
        <w:spacing w:line="360" w:lineRule="auto"/>
        <w:jc w:val="left"/>
      </w:pPr>
    </w:p>
    <w:p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</w:rPr>
        <w:t xml:space="preserve">Annex2:              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 Proposed Topics for Speech</w:t>
      </w:r>
    </w:p>
    <w:p>
      <w:pPr>
        <w:spacing w:line="360" w:lineRule="auto"/>
        <w:ind w:firstLine="420" w:firstLineChars="200"/>
      </w:pPr>
      <w:r>
        <w:t>We suggest some topics which might fit your research or give you hints to prepare for a presentation. Besides, any other topics on the symposium theme are also welcome.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Bilateral trade development 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Bilateral investment development 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New trade potential under OBOR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Inter-industry and intra-industry trade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Primary commodity trade and prospective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42C9"/>
    <w:multiLevelType w:val="singleLevel"/>
    <w:tmpl w:val="059342C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42F64"/>
    <w:rsid w:val="003F1533"/>
    <w:rsid w:val="00414E44"/>
    <w:rsid w:val="0053248E"/>
    <w:rsid w:val="0057799C"/>
    <w:rsid w:val="00921A62"/>
    <w:rsid w:val="00A10624"/>
    <w:rsid w:val="00AD6318"/>
    <w:rsid w:val="00B52E20"/>
    <w:rsid w:val="0F6D1CCE"/>
    <w:rsid w:val="0FA87641"/>
    <w:rsid w:val="32464BFD"/>
    <w:rsid w:val="4F7429E9"/>
    <w:rsid w:val="554248AE"/>
    <w:rsid w:val="5D9C36F6"/>
    <w:rsid w:val="6444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0"/>
    <w:rPr>
      <w:rFonts w:ascii="Times New Roman" w:hAnsi="Times New Roman" w:eastAsia="仿宋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="Times New Roman" w:hAnsi="Times New Roman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470</Characters>
  <Lines>3</Lines>
  <Paragraphs>1</Paragraphs>
  <TotalTime>0</TotalTime>
  <ScaleCrop>false</ScaleCrop>
  <LinksUpToDate>false</LinksUpToDate>
  <CharactersWithSpaces>551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2018-04-01T11:43:00Z</dcterms:created>
  <dc:creator>余静芸</dc:creator>
  <cp:lastModifiedBy>余静芸</cp:lastModifiedBy>
  <dcterms:modified xsi:type="dcterms:W3CDTF">2018-04-01T13:35:33Z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