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ind w:firstLine="1696"/>
        <w:jc w:val="center"/>
        <w:rPr>
          <w:rFonts w:ascii="Times New Roman Bold" w:hAnsi="Times New Roman Bold" w:eastAsia="Times New Roman Bold" w:cs="Times New Roman Bold"/>
          <w:sz w:val="32"/>
          <w:szCs w:val="32"/>
        </w:rPr>
      </w:pPr>
      <w:r>
        <w:rPr>
          <w:rFonts w:ascii="宋体" w:hAnsi="宋体" w:eastAsia="宋体" w:cs="宋体"/>
          <w:b/>
          <w:bCs/>
          <w:sz w:val="32"/>
          <w:szCs w:val="32"/>
          <w:lang w:val="zh-TW" w:eastAsia="zh-TW"/>
        </w:rPr>
        <w:t>经济学院论文内容范式（请显示批注）</w:t>
      </w:r>
    </w:p>
    <w:p>
      <w:pPr>
        <w:pStyle w:val="9"/>
        <w:framePr w:w="0" w:hRule="auto" w:wrap="auto" w:vAnchor="margin" w:hAnchor="text" w:yAlign="inline"/>
        <w:ind w:left="420" w:firstLine="0"/>
        <w:rPr>
          <w:rFonts w:ascii="Times New Roman Bold" w:hAnsi="Times New Roman Bold" w:eastAsia="Times New Roman Bold" w:cs="Times New Roman Bold"/>
          <w:sz w:val="24"/>
          <w:szCs w:val="24"/>
        </w:rPr>
      </w:pPr>
      <w:r>
        <w:rPr>
          <w:rFonts w:ascii="Times New Roman Bold" w:hAnsi="Times New Roman Bold" w:eastAsia="Times New Roman Bold" w:cs="Times New Roman Bold"/>
          <w:sz w:val="24"/>
          <w:szCs w:val="24"/>
        </w:rPr>
        <w:br w:type="textWrapping"/>
      </w:r>
      <w:commentRangeStart w:id="0"/>
    </w:p>
    <w:p>
      <w:pPr>
        <w:framePr w:w="0" w:hRule="auto" w:wrap="auto" w:vAnchor="margin" w:hAnchor="text" w:yAlign="inline"/>
        <w:spacing w:line="360" w:lineRule="auto"/>
        <w:jc w:val="center"/>
        <w:rPr>
          <w:rFonts w:ascii="宋体" w:hAnsi="宋体" w:eastAsia="宋体" w:cs="宋体"/>
          <w:sz w:val="44"/>
          <w:szCs w:val="44"/>
        </w:rPr>
      </w:pPr>
      <w:r>
        <w:rPr>
          <w:rFonts w:ascii="宋体" w:hAnsi="宋体" w:eastAsia="宋体" w:cs="宋体"/>
          <w:sz w:val="44"/>
          <w:szCs w:val="44"/>
          <w:lang w:val="zh-TW" w:eastAsia="zh-TW"/>
        </w:rPr>
        <w:t>面向低收入群体的商业模式创新</w:t>
      </w:r>
      <w:commentRangeEnd w:id="0"/>
      <w:r>
        <w:commentReference w:id="0"/>
      </w:r>
    </w:p>
    <w:p>
      <w:pPr>
        <w:framePr w:w="0" w:hRule="auto" w:wrap="auto" w:vAnchor="margin" w:hAnchor="text" w:yAlign="inline"/>
        <w:spacing w:line="440" w:lineRule="exact"/>
        <w:jc w:val="center"/>
        <w:rPr>
          <w:color w:val="FF0000"/>
          <w:sz w:val="24"/>
          <w:szCs w:val="24"/>
          <w:u w:color="FF0000"/>
        </w:rPr>
      </w:pPr>
      <w:r>
        <w:rPr>
          <w:rFonts w:ascii="Times New Roman"/>
          <w:color w:val="FF0000"/>
          <w:u w:color="FF0000"/>
          <w:lang w:val="en-US"/>
        </w:rPr>
        <w:t xml:space="preserve"> </w:t>
      </w:r>
    </w:p>
    <w:p>
      <w:pPr>
        <w:framePr w:w="0" w:hRule="auto" w:wrap="auto" w:vAnchor="margin" w:hAnchor="text" w:yAlign="inline"/>
        <w:spacing w:line="440" w:lineRule="exact"/>
        <w:jc w:val="center"/>
        <w:rPr>
          <w:color w:val="FF0000"/>
          <w:u w:color="FF0000"/>
        </w:rPr>
      </w:pP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赵</w:t>
      </w:r>
      <w:r>
        <w:rPr>
          <w:rFonts w:ascii="仿宋_GB2312" w:hAnsi="仿宋_GB2312" w:eastAsia="仿宋_GB2312" w:cs="仿宋_GB2312"/>
          <w:sz w:val="28"/>
          <w:szCs w:val="28"/>
          <w:lang w:val="en-US"/>
        </w:rPr>
        <w:t xml:space="preserve">  </w:t>
      </w:r>
      <w:r>
        <w:rPr>
          <w:rFonts w:ascii="仿宋_GB2312" w:hAnsi="仿宋_GB2312" w:eastAsia="仿宋_GB2312" w:cs="仿宋_GB2312"/>
          <w:sz w:val="28"/>
          <w:szCs w:val="28"/>
          <w:lang w:val="zh-TW" w:eastAsia="zh-TW"/>
        </w:rPr>
        <w:t>晶</w:t>
      </w:r>
      <w:r>
        <w:rPr>
          <w:rFonts w:ascii="仿宋_GB2312" w:hAnsi="仿宋_GB2312" w:eastAsia="仿宋_GB2312" w:cs="仿宋_GB2312"/>
          <w:sz w:val="28"/>
          <w:szCs w:val="28"/>
          <w:vertAlign w:val="superscript"/>
          <w:lang w:val="en-US"/>
        </w:rPr>
        <w:t>1,2</w:t>
      </w:r>
      <w:r>
        <w:rPr>
          <w:rFonts w:ascii="仿宋_GB2312" w:hAnsi="仿宋_GB2312" w:eastAsia="仿宋_GB2312" w:cs="仿宋_GB2312"/>
          <w:sz w:val="28"/>
          <w:szCs w:val="28"/>
          <w:lang w:val="zh-TW" w:eastAsia="zh-TW"/>
        </w:rPr>
        <w:t>，仝允桓</w:t>
      </w:r>
      <w:r>
        <w:rPr>
          <w:rFonts w:ascii="仿宋_GB2312" w:hAnsi="仿宋_GB2312" w:eastAsia="仿宋_GB2312" w:cs="仿宋_GB2312"/>
          <w:sz w:val="28"/>
          <w:szCs w:val="28"/>
          <w:vertAlign w:val="superscript"/>
          <w:lang w:val="en-US"/>
        </w:rPr>
        <w:t>1</w:t>
      </w:r>
      <w:r>
        <w:rPr>
          <w:rFonts w:ascii="Times New Roman"/>
          <w:color w:val="FF0000"/>
          <w:u w:color="FF0000"/>
          <w:lang w:val="en-US"/>
        </w:rPr>
        <w:t xml:space="preserve"> </w:t>
      </w:r>
    </w:p>
    <w:p>
      <w:pPr>
        <w:framePr w:w="0" w:hRule="auto" w:wrap="auto" w:vAnchor="margin" w:hAnchor="text" w:yAlign="inline"/>
        <w:spacing w:line="440" w:lineRule="exact"/>
        <w:jc w:val="center"/>
        <w:rPr>
          <w:color w:val="FF0000"/>
          <w:sz w:val="24"/>
          <w:szCs w:val="24"/>
          <w:u w:color="FF0000"/>
        </w:rPr>
      </w:pPr>
    </w:p>
    <w:p>
      <w:pPr>
        <w:framePr w:w="0" w:hRule="auto" w:wrap="auto" w:vAnchor="margin" w:hAnchor="text" w:yAlign="inline"/>
        <w:rPr>
          <w:rFonts w:ascii="宋体" w:hAnsi="宋体" w:eastAsia="宋体" w:cs="宋体"/>
        </w:rPr>
      </w:pPr>
      <w:r>
        <w:rPr>
          <w:rFonts w:ascii="宋体" w:hAnsi="宋体" w:eastAsia="宋体" w:cs="宋体"/>
          <w:lang w:val="en-US"/>
        </w:rPr>
        <w:t xml:space="preserve">                  (1.</w:t>
      </w:r>
      <w:commentRangeStart w:id="1"/>
      <w:r>
        <w:rPr>
          <w:rFonts w:ascii="宋体" w:hAnsi="宋体" w:eastAsia="宋体" w:cs="宋体"/>
          <w:lang w:val="zh-TW" w:eastAsia="zh-TW"/>
        </w:rPr>
        <w:t>清华大学经济管理学院</w:t>
      </w:r>
      <w:commentRangeEnd w:id="1"/>
      <w:r>
        <w:commentReference w:id="1"/>
      </w:r>
      <w:r>
        <w:rPr>
          <w:rFonts w:ascii="宋体" w:hAnsi="宋体" w:eastAsia="宋体" w:cs="宋体"/>
          <w:lang w:val="en-US"/>
        </w:rPr>
        <w:t xml:space="preserve">,        </w:t>
      </w:r>
      <w:r>
        <w:rPr>
          <w:rFonts w:ascii="宋体" w:hAnsi="宋体" w:eastAsia="宋体" w:cs="宋体"/>
          <w:lang w:val="zh-TW" w:eastAsia="zh-TW"/>
        </w:rPr>
        <w:t>北京</w:t>
      </w:r>
      <w:r>
        <w:rPr>
          <w:rFonts w:ascii="宋体" w:hAnsi="宋体" w:eastAsia="宋体" w:cs="宋体"/>
          <w:vertAlign w:val="superscript"/>
          <w:lang w:val="en-US"/>
        </w:rPr>
        <w:t xml:space="preserve"> </w:t>
      </w:r>
      <w:r>
        <w:rPr>
          <w:rFonts w:ascii="宋体" w:hAnsi="宋体" w:eastAsia="宋体" w:cs="宋体"/>
          <w:lang w:val="en-US"/>
        </w:rPr>
        <w:t>100084</w:t>
      </w:r>
      <w:r>
        <w:rPr>
          <w:rFonts w:ascii="宋体" w:hAnsi="宋体" w:eastAsia="宋体" w:cs="宋体"/>
          <w:lang w:val="zh-TW" w:eastAsia="zh-TW"/>
        </w:rPr>
        <w:t>；</w:t>
      </w:r>
    </w:p>
    <w:p>
      <w:pPr>
        <w:framePr w:w="0" w:hRule="auto" w:wrap="auto" w:vAnchor="margin" w:hAnchor="text" w:yAlign="inline"/>
        <w:ind w:firstLine="1995"/>
        <w:rPr>
          <w:rFonts w:ascii="宋体" w:hAnsi="宋体" w:eastAsia="宋体" w:cs="宋体"/>
        </w:rPr>
      </w:pPr>
      <w:r>
        <w:rPr>
          <w:rFonts w:ascii="宋体" w:hAnsi="宋体" w:eastAsia="宋体" w:cs="宋体"/>
          <w:lang w:val="en-US"/>
        </w:rPr>
        <w:t>2.</w:t>
      </w:r>
      <w:r>
        <w:rPr>
          <w:rFonts w:ascii="宋体" w:hAnsi="宋体" w:eastAsia="宋体" w:cs="宋体"/>
          <w:lang w:val="zh-TW" w:eastAsia="zh-TW"/>
        </w:rPr>
        <w:t>辽宁大学工商管理学院</w:t>
      </w:r>
      <w:r>
        <w:rPr>
          <w:rFonts w:ascii="宋体" w:hAnsi="宋体" w:eastAsia="宋体" w:cs="宋体"/>
          <w:lang w:val="en-US"/>
        </w:rPr>
        <w:t xml:space="preserve">,  </w:t>
      </w:r>
      <w:commentRangeStart w:id="2"/>
      <w:r>
        <w:rPr>
          <w:rFonts w:ascii="宋体" w:hAnsi="宋体" w:eastAsia="宋体" w:cs="宋体"/>
          <w:lang w:val="zh-TW" w:eastAsia="zh-TW"/>
        </w:rPr>
        <w:t>辽宁  沈阳</w:t>
      </w:r>
      <w:commentRangeEnd w:id="2"/>
      <w:r>
        <w:commentReference w:id="2"/>
      </w:r>
      <w:r>
        <w:rPr>
          <w:rFonts w:ascii="宋体" w:hAnsi="宋体" w:eastAsia="宋体" w:cs="宋体"/>
          <w:lang w:val="en-US"/>
        </w:rPr>
        <w:t xml:space="preserve">110036) </w:t>
      </w:r>
    </w:p>
    <w:p>
      <w:pPr>
        <w:framePr w:w="0" w:hRule="auto" w:wrap="auto" w:vAnchor="margin" w:hAnchor="text" w:yAlign="inline"/>
        <w:ind w:firstLine="422"/>
        <w:rPr>
          <w:rFonts w:ascii="黑体" w:hAnsi="黑体" w:eastAsia="黑体" w:cs="黑体"/>
          <w:b/>
          <w:bCs/>
        </w:rPr>
      </w:pPr>
    </w:p>
    <w:p>
      <w:pPr>
        <w:framePr w:w="0" w:hRule="auto" w:wrap="auto" w:vAnchor="margin" w:hAnchor="text" w:yAlign="inline"/>
        <w:ind w:firstLine="422"/>
        <w:rPr>
          <w:rFonts w:ascii="宋体" w:hAnsi="宋体" w:eastAsia="宋体" w:cs="宋体"/>
        </w:rPr>
      </w:pPr>
      <w:r>
        <w:rPr>
          <w:rFonts w:ascii="黑体" w:hAnsi="黑体" w:eastAsia="黑体" w:cs="黑体"/>
          <w:b/>
          <w:bCs/>
          <w:lang w:val="en-US"/>
        </w:rPr>
        <w:t>[</w:t>
      </w:r>
      <w:r>
        <w:rPr>
          <w:rFonts w:ascii="黑体" w:hAnsi="黑体" w:eastAsia="黑体" w:cs="黑体"/>
          <w:b/>
          <w:bCs/>
          <w:lang w:val="zh-TW" w:eastAsia="zh-TW"/>
        </w:rPr>
        <w:t>摘要</w:t>
      </w:r>
      <w:r>
        <w:rPr>
          <w:rFonts w:ascii="黑体" w:hAnsi="黑体" w:eastAsia="黑体" w:cs="黑体"/>
          <w:b/>
          <w:bCs/>
          <w:lang w:val="en-US"/>
        </w:rPr>
        <w:t xml:space="preserve">]  </w:t>
      </w:r>
      <w:r>
        <w:rPr>
          <w:rFonts w:ascii="仿宋_GB2312" w:hAnsi="仿宋_GB2312" w:eastAsia="仿宋_GB2312" w:cs="仿宋_GB2312"/>
          <w:lang w:val="zh-TW" w:eastAsia="zh-TW"/>
        </w:rPr>
        <w:t>对企业的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市场的商业模式创新问题的研究，不仅具有重大且长远的经济意义和社会意义，而且还有重要的理论价值。本文从战略目标的视角将企业的</w:t>
      </w:r>
      <w:r>
        <w:rPr>
          <w:rFonts w:ascii="仿宋_GB2312" w:hAnsi="仿宋_GB2312" w:eastAsia="仿宋_GB2312" w:cs="仿宋_GB2312"/>
          <w:lang w:val="en-US"/>
        </w:rPr>
        <w:t>BOP</w:t>
      </w:r>
      <w:r>
        <w:rPr>
          <w:rFonts w:ascii="仿宋_GB2312" w:hAnsi="仿宋_GB2312" w:eastAsia="仿宋_GB2312" w:cs="仿宋_GB2312"/>
          <w:lang w:val="zh-TW" w:eastAsia="zh-TW"/>
        </w:rPr>
        <w:t>战略划分为市场开发型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战略、资源开发型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战略和资源</w:t>
      </w:r>
      <w:r>
        <w:rPr>
          <w:rFonts w:ascii="仿宋_GB2312" w:hAnsi="仿宋_GB2312" w:eastAsia="仿宋_GB2312" w:cs="仿宋_GB2312"/>
          <w:lang w:val="en-US"/>
        </w:rPr>
        <w:t>-</w:t>
      </w:r>
      <w:r>
        <w:rPr>
          <w:rFonts w:ascii="仿宋_GB2312" w:hAnsi="仿宋_GB2312" w:eastAsia="仿宋_GB2312" w:cs="仿宋_GB2312"/>
          <w:lang w:val="zh-TW" w:eastAsia="zh-TW"/>
        </w:rPr>
        <w:t>市场开发型</w:t>
      </w:r>
      <w:r>
        <w:rPr>
          <w:rFonts w:ascii="仿宋_GB2312" w:hAnsi="仿宋_GB2312" w:eastAsia="仿宋_GB2312" w:cs="仿宋_GB2312"/>
          <w:lang w:val="en-US"/>
        </w:rPr>
        <w:t>BOP</w:t>
      </w:r>
      <w:r>
        <w:rPr>
          <w:rFonts w:ascii="仿宋_GB2312" w:hAnsi="仿宋_GB2312" w:eastAsia="仿宋_GB2312" w:cs="仿宋_GB2312"/>
          <w:lang w:val="zh-TW" w:eastAsia="zh-TW"/>
        </w:rPr>
        <w:t>战略三种基本类型，且每种</w:t>
      </w:r>
      <w:r>
        <w:rPr>
          <w:rFonts w:ascii="仿宋_GB2312" w:hAnsi="仿宋_GB2312" w:eastAsia="仿宋_GB2312" w:cs="仿宋_GB2312"/>
          <w:lang w:val="en-US"/>
        </w:rPr>
        <w:t>BOP</w:t>
      </w:r>
      <w:r>
        <w:rPr>
          <w:rFonts w:ascii="仿宋_GB2312" w:hAnsi="仿宋_GB2312" w:eastAsia="仿宋_GB2312" w:cs="仿宋_GB2312"/>
          <w:lang w:val="zh-TW" w:eastAsia="zh-TW"/>
        </w:rPr>
        <w:t>战略都对应着相应类型的商业模式创新。同时，三种</w:t>
      </w:r>
      <w:r>
        <w:rPr>
          <w:rFonts w:ascii="仿宋_GB2312" w:hAnsi="仿宋_GB2312" w:eastAsia="仿宋_GB2312" w:cs="仿宋_GB2312"/>
          <w:lang w:val="en-US"/>
        </w:rPr>
        <w:t>BOP</w:t>
      </w:r>
      <w:r>
        <w:rPr>
          <w:rFonts w:ascii="仿宋_GB2312" w:hAnsi="仿宋_GB2312" w:eastAsia="仿宋_GB2312" w:cs="仿宋_GB2312"/>
          <w:lang w:val="zh-TW" w:eastAsia="zh-TW"/>
        </w:rPr>
        <w:t>战略与企业的基本竞争战略之间也存在着对应关系。通过对企业能力的界定，初步构建了企业关键能力与</w:t>
      </w:r>
      <w:r>
        <w:rPr>
          <w:rFonts w:ascii="仿宋_GB2312" w:hAnsi="仿宋_GB2312" w:eastAsia="仿宋_GB2312" w:cs="仿宋_GB2312"/>
          <w:lang w:val="en-US"/>
        </w:rPr>
        <w:t>BOP</w:t>
      </w:r>
      <w:r>
        <w:rPr>
          <w:rFonts w:ascii="仿宋_GB2312" w:hAnsi="仿宋_GB2312" w:eastAsia="仿宋_GB2312" w:cs="仿宋_GB2312"/>
          <w:lang w:val="zh-TW" w:eastAsia="zh-TW"/>
        </w:rPr>
        <w:t>战略之间的匹配模型，进而建立起竞争战略、企业能力与面向</w:t>
      </w:r>
      <w:r>
        <w:rPr>
          <w:rFonts w:ascii="仿宋_GB2312" w:hAnsi="仿宋_GB2312" w:eastAsia="仿宋_GB2312" w:cs="仿宋_GB2312"/>
          <w:lang w:val="en-US"/>
        </w:rPr>
        <w:t>BOP</w:t>
      </w:r>
      <w:r>
        <w:rPr>
          <w:rFonts w:ascii="仿宋_GB2312" w:hAnsi="仿宋_GB2312" w:eastAsia="仿宋_GB2312" w:cs="仿宋_GB2312"/>
          <w:lang w:val="zh-TW" w:eastAsia="zh-TW"/>
        </w:rPr>
        <w:t>市场的商业模式创新三者之间的逻辑关系</w:t>
      </w:r>
      <w:r>
        <w:rPr>
          <w:rFonts w:ascii="宋体" w:hAnsi="宋体" w:eastAsia="宋体" w:cs="宋体"/>
          <w:vertAlign w:val="superscript"/>
          <w:lang w:val="en-US"/>
        </w:rPr>
        <w:footnoteReference w:id="0" w:customMarkFollows="1"/>
        <w:t>j</w:t>
      </w:r>
      <w:r>
        <w:rPr>
          <w:rFonts w:ascii="仿宋_GB2312" w:hAnsi="仿宋_GB2312" w:eastAsia="仿宋_GB2312" w:cs="仿宋_GB2312"/>
          <w:lang w:val="zh-TW" w:eastAsia="zh-TW"/>
        </w:rPr>
        <w:t>。</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五仿，每行</w:t>
      </w:r>
      <w:r>
        <w:rPr>
          <w:rFonts w:ascii="Times New Roman Bold"/>
          <w:color w:val="FF0000"/>
          <w:u w:color="FF0000"/>
          <w:lang w:val="en-US"/>
        </w:rPr>
        <w:t>38</w:t>
      </w:r>
      <w:r>
        <w:rPr>
          <w:rFonts w:ascii="仿宋_GB2312" w:hAnsi="仿宋_GB2312" w:eastAsia="仿宋_GB2312" w:cs="仿宋_GB2312"/>
          <w:b/>
          <w:bCs/>
          <w:color w:val="FF0000"/>
          <w:u w:color="FF0000"/>
          <w:lang w:val="zh-TW" w:eastAsia="zh-TW"/>
        </w:rPr>
        <w:t>字，总计</w:t>
      </w:r>
      <w:r>
        <w:rPr>
          <w:rFonts w:ascii="Times New Roman Bold"/>
          <w:color w:val="FF0000"/>
          <w:u w:color="FF0000"/>
          <w:lang w:val="en-US"/>
        </w:rPr>
        <w:t>300-450</w:t>
      </w:r>
      <w:r>
        <w:rPr>
          <w:rFonts w:ascii="仿宋_GB2312" w:hAnsi="仿宋_GB2312" w:eastAsia="仿宋_GB2312" w:cs="仿宋_GB2312"/>
          <w:b/>
          <w:bCs/>
          <w:color w:val="FF0000"/>
          <w:u w:color="FF0000"/>
          <w:lang w:val="zh-TW" w:eastAsia="zh-TW"/>
        </w:rPr>
        <w:t>字）</w:t>
      </w:r>
    </w:p>
    <w:p>
      <w:pPr>
        <w:framePr w:w="0" w:hRule="auto" w:wrap="auto" w:vAnchor="margin" w:hAnchor="text" w:yAlign="inline"/>
        <w:spacing w:line="360" w:lineRule="auto"/>
        <w:ind w:firstLine="422"/>
        <w:rPr>
          <w:rFonts w:ascii="仿宋_GB2312" w:hAnsi="仿宋_GB2312" w:eastAsia="仿宋_GB2312" w:cs="仿宋_GB2312"/>
        </w:rPr>
      </w:pPr>
      <w:r>
        <w:rPr>
          <w:rFonts w:ascii="黑体" w:hAnsi="黑体" w:eastAsia="黑体" w:cs="黑体"/>
          <w:b/>
          <w:bCs/>
          <w:lang w:val="en-US"/>
        </w:rPr>
        <w:t>[</w:t>
      </w:r>
      <w:r>
        <w:rPr>
          <w:rFonts w:ascii="黑体" w:hAnsi="黑体" w:eastAsia="黑体" w:cs="黑体"/>
          <w:b/>
          <w:bCs/>
          <w:lang w:val="zh-TW" w:eastAsia="zh-TW"/>
        </w:rPr>
        <w:t>关键词</w:t>
      </w:r>
      <w:r>
        <w:rPr>
          <w:rFonts w:ascii="黑体" w:hAnsi="黑体" w:eastAsia="黑体" w:cs="黑体"/>
          <w:b/>
          <w:bCs/>
          <w:lang w:val="en-US"/>
        </w:rPr>
        <w:t xml:space="preserve">]  </w:t>
      </w:r>
      <w:r>
        <w:rPr>
          <w:rFonts w:ascii="仿宋_GB2312" w:hAnsi="仿宋_GB2312" w:eastAsia="仿宋_GB2312" w:cs="仿宋_GB2312"/>
          <w:lang w:val="zh-TW" w:eastAsia="zh-TW"/>
        </w:rPr>
        <w:t>低收入群体；</w:t>
      </w:r>
      <w:r>
        <w:rPr>
          <w:rFonts w:ascii="仿宋_GB2312" w:hAnsi="仿宋_GB2312" w:eastAsia="仿宋_GB2312" w:cs="仿宋_GB2312"/>
          <w:lang w:val="en-US"/>
        </w:rPr>
        <w:t>BOP</w:t>
      </w:r>
      <w:r>
        <w:rPr>
          <w:rFonts w:ascii="仿宋_GB2312" w:hAnsi="仿宋_GB2312" w:eastAsia="仿宋_GB2312" w:cs="仿宋_GB2312"/>
          <w:lang w:val="zh-TW" w:eastAsia="zh-TW"/>
        </w:rPr>
        <w:t>战略；企业能力；商业模式</w:t>
      </w:r>
      <w:r>
        <w:rPr>
          <w:rFonts w:ascii="仿宋_GB2312" w:hAnsi="仿宋_GB2312" w:eastAsia="仿宋_GB2312" w:cs="仿宋_GB2312"/>
          <w:color w:val="FF0000"/>
          <w:u w:color="FF0000"/>
          <w:lang w:val="zh-TW" w:eastAsia="zh-TW"/>
        </w:rPr>
        <w:t>（</w:t>
      </w:r>
      <w:r>
        <w:rPr>
          <w:rFonts w:ascii="仿宋_GB2312" w:hAnsi="仿宋_GB2312" w:eastAsia="仿宋_GB2312" w:cs="仿宋_GB2312"/>
          <w:b/>
          <w:bCs/>
          <w:color w:val="FF0000"/>
          <w:u w:color="FF0000"/>
          <w:lang w:val="zh-TW" w:eastAsia="zh-TW"/>
        </w:rPr>
        <w:t>五仿）</w:t>
      </w:r>
    </w:p>
    <w:p>
      <w:pPr>
        <w:framePr w:w="0" w:hRule="auto" w:wrap="auto" w:vAnchor="margin" w:hAnchor="text" w:yAlign="inline"/>
        <w:ind w:firstLine="420"/>
        <w:jc w:val="center"/>
        <w:rPr>
          <w:rFonts w:ascii="Times New Roman Bold" w:hAnsi="Times New Roman Bold" w:eastAsia="Times New Roman Bold" w:cs="Times New Roman Bold"/>
          <w:color w:val="FF0000"/>
          <w:u w:color="FF0000"/>
        </w:rPr>
      </w:pPr>
    </w:p>
    <w:p>
      <w:pPr>
        <w:framePr w:w="0" w:hRule="auto" w:wrap="auto" w:vAnchor="margin" w:hAnchor="text" w:yAlign="inline"/>
        <w:ind w:left="8028" w:hanging="8028"/>
        <w:rPr>
          <w:rFonts w:ascii="Times New Roman Bold" w:hAnsi="Times New Roman Bold" w:eastAsia="Times New Roman Bold" w:cs="Times New Roman Bold"/>
        </w:rPr>
      </w:pPr>
      <w:r>
        <w:rPr>
          <w:rFonts w:ascii="宋体" w:hAnsi="宋体" w:eastAsia="宋体" w:cs="宋体"/>
          <w:b/>
          <w:bCs/>
          <w:lang w:val="en-US"/>
        </w:rPr>
        <w:t xml:space="preserve">                                                                          </w:t>
      </w:r>
    </w:p>
    <w:p>
      <w:pPr>
        <w:framePr w:w="0" w:hRule="auto" w:wrap="auto" w:vAnchor="margin" w:hAnchor="text" w:yAlign="inline"/>
        <w:rPr>
          <w:rFonts w:ascii="Times New Roman Bold" w:hAnsi="Times New Roman Bold" w:eastAsia="Times New Roman Bold" w:cs="Times New Roman Bold"/>
        </w:rPr>
      </w:pPr>
      <w:r>
        <w:rPr>
          <w:rFonts w:ascii="宋体" w:hAnsi="宋体" w:eastAsia="宋体" w:cs="宋体"/>
          <w:lang w:val="zh-TW" w:eastAsia="zh-TW"/>
        </w:rPr>
        <w:t>正文</w:t>
      </w:r>
      <w:r>
        <w:rPr>
          <w:rFonts w:ascii="宋体" w:hAnsi="宋体" w:eastAsia="宋体" w:cs="宋体"/>
          <w:color w:val="000000"/>
          <w:u w:color="000000"/>
          <w:lang w:val="zh-TW" w:eastAsia="zh-TW"/>
        </w:rPr>
        <w:t>三级标题体例规范如下：</w:t>
      </w:r>
    </w:p>
    <w:p>
      <w:pPr>
        <w:framePr w:w="0" w:hRule="auto" w:wrap="auto" w:vAnchor="margin" w:hAnchor="text" w:yAlign="inline"/>
        <w:jc w:val="center"/>
        <w:rPr>
          <w:rFonts w:ascii="仿宋_GB2312" w:hAnsi="仿宋_GB2312" w:eastAsia="仿宋_GB2312" w:cs="仿宋_GB2312"/>
          <w:color w:val="000000"/>
          <w:sz w:val="28"/>
          <w:szCs w:val="28"/>
          <w:u w:color="000000"/>
        </w:rPr>
      </w:pPr>
      <w:r>
        <w:rPr>
          <w:rFonts w:ascii="仿宋_GB2312" w:hAnsi="仿宋_GB2312" w:eastAsia="仿宋_GB2312" w:cs="仿宋_GB2312"/>
          <w:color w:val="000000"/>
          <w:sz w:val="28"/>
          <w:szCs w:val="28"/>
          <w:u w:color="000000"/>
          <w:lang w:val="zh-TW" w:eastAsia="zh-TW"/>
        </w:rPr>
        <w:t>一、</w:t>
      </w:r>
      <w:r>
        <w:rPr>
          <w:rFonts w:ascii="仿宋_GB2312" w:hAnsi="仿宋_GB2312" w:eastAsia="仿宋_GB2312" w:cs="仿宋_GB2312"/>
          <w:color w:val="FF0000"/>
          <w:sz w:val="28"/>
          <w:szCs w:val="28"/>
          <w:u w:color="FF0000"/>
          <w:lang w:val="zh-TW" w:eastAsia="zh-TW"/>
        </w:rPr>
        <w:t>（四号仿宋，居中，标题单独占行）</w:t>
      </w:r>
    </w:p>
    <w:p>
      <w:pPr>
        <w:framePr w:w="0" w:hRule="auto" w:wrap="auto" w:vAnchor="margin" w:hAnchor="text" w:yAlign="inline"/>
        <w:ind w:firstLine="420"/>
        <w:rPr>
          <w:rFonts w:ascii="黑体" w:hAnsi="黑体" w:eastAsia="黑体" w:cs="黑体"/>
          <w:color w:val="000000"/>
          <w:u w:color="000000"/>
        </w:rPr>
      </w:pPr>
      <w:r>
        <w:rPr>
          <w:rFonts w:ascii="黑体" w:hAnsi="黑体" w:eastAsia="黑体" w:cs="黑体"/>
          <w:color w:val="000000"/>
          <w:u w:color="000000"/>
          <w:lang w:val="en-US"/>
        </w:rPr>
        <w:t>1.</w:t>
      </w:r>
      <w:r>
        <w:rPr>
          <w:rFonts w:ascii="黑体" w:hAnsi="黑体" w:eastAsia="黑体" w:cs="黑体"/>
          <w:color w:val="FF0000"/>
          <w:u w:color="FF0000"/>
          <w:lang w:val="zh-TW" w:eastAsia="zh-TW"/>
        </w:rPr>
        <w:t>（五号黑体，左起缩进</w:t>
      </w:r>
      <w:r>
        <w:rPr>
          <w:rFonts w:ascii="黑体" w:hAnsi="黑体" w:eastAsia="黑体" w:cs="黑体"/>
          <w:color w:val="FF0000"/>
          <w:u w:color="FF0000"/>
          <w:lang w:val="en-US"/>
        </w:rPr>
        <w:t>2</w:t>
      </w:r>
      <w:r>
        <w:rPr>
          <w:rFonts w:ascii="黑体" w:hAnsi="黑体" w:eastAsia="黑体" w:cs="黑体"/>
          <w:color w:val="FF0000"/>
          <w:u w:color="FF0000"/>
          <w:lang w:val="zh-TW" w:eastAsia="zh-TW"/>
        </w:rPr>
        <w:t>个字，标题单独占行）</w:t>
      </w:r>
    </w:p>
    <w:p>
      <w:pPr>
        <w:framePr w:w="0" w:hRule="auto" w:wrap="auto" w:vAnchor="margin" w:hAnchor="text" w:yAlign="inline"/>
        <w:rPr>
          <w:color w:val="FF0000"/>
          <w:u w:color="FF0000"/>
        </w:rPr>
      </w:pPr>
      <w:r>
        <w:rPr>
          <w:rFonts w:ascii="Times New Roman" w:hAnsi="Arial Unicode MS" w:eastAsia="Arial Unicode MS" w:cs="Arial Unicode MS"/>
          <w:lang w:val="en-US"/>
        </w:rPr>
        <w:t xml:space="preserve">   </w:t>
      </w:r>
      <w:r>
        <w:rPr>
          <w:rFonts w:ascii="宋体" w:hAnsi="宋体" w:eastAsia="宋体" w:cs="宋体"/>
          <w:lang w:val="zh-TW" w:eastAsia="zh-TW"/>
        </w:rPr>
        <w:t>（</w:t>
      </w:r>
      <w:r>
        <w:rPr>
          <w:rFonts w:ascii="Times New Roman" w:hAnsi="Arial Unicode MS" w:eastAsia="Arial Unicode MS" w:cs="Arial Unicode MS"/>
          <w:lang w:val="en-US"/>
        </w:rPr>
        <w:t>1</w:t>
      </w:r>
      <w:r>
        <w:rPr>
          <w:rFonts w:ascii="宋体" w:hAnsi="宋体" w:eastAsia="宋体" w:cs="宋体"/>
          <w:lang w:val="zh-TW" w:eastAsia="zh-TW"/>
        </w:rPr>
        <w:t>）</w:t>
      </w:r>
      <w:r>
        <w:rPr>
          <w:rFonts w:ascii="宋体" w:hAnsi="宋体" w:eastAsia="宋体" w:cs="宋体"/>
          <w:color w:val="FF0000"/>
          <w:u w:color="FF0000"/>
          <w:lang w:val="zh-TW" w:eastAsia="zh-TW"/>
        </w:rPr>
        <w:t>（五号宋体，左起缩进</w:t>
      </w:r>
      <w:r>
        <w:rPr>
          <w:rFonts w:ascii="Times New Roman" w:hAnsi="Arial Unicode MS" w:eastAsia="Arial Unicode MS" w:cs="Arial Unicode MS"/>
          <w:color w:val="FF0000"/>
          <w:u w:color="FF0000"/>
          <w:lang w:val="en-US"/>
        </w:rPr>
        <w:t>2</w:t>
      </w:r>
      <w:r>
        <w:rPr>
          <w:rFonts w:ascii="宋体" w:hAnsi="宋体" w:eastAsia="宋体" w:cs="宋体"/>
          <w:color w:val="FF0000"/>
          <w:u w:color="FF0000"/>
          <w:lang w:val="zh-TW" w:eastAsia="zh-TW"/>
        </w:rPr>
        <w:t>个字，标题不单独占行，正文接排）</w:t>
      </w:r>
    </w:p>
    <w:p>
      <w:pPr>
        <w:framePr w:w="0" w:hRule="auto" w:wrap="auto" w:vAnchor="margin" w:hAnchor="text" w:yAlign="inline"/>
        <w:ind w:firstLine="630"/>
      </w:pP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en-US"/>
        </w:rPr>
        <w:t>Audia  et al.,</w:t>
      </w:r>
      <w:commentRangeStart w:id="3"/>
      <w:r>
        <w:rPr>
          <w:rFonts w:ascii="Times New Roman"/>
          <w:color w:val="FF0000"/>
          <w:u w:color="FF0000"/>
          <w:lang w:val="en-US"/>
        </w:rPr>
        <w:t>2000</w:t>
      </w:r>
      <w:commentRangeEnd w:id="3"/>
      <w:r>
        <w:commentReference w:id="3"/>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en-US"/>
        </w:rPr>
        <w:t>Nerkar, Shane</w:t>
      </w:r>
      <w:r>
        <w:rPr>
          <w:rFonts w:ascii="宋体" w:hAnsi="宋体" w:eastAsia="宋体" w:cs="宋体"/>
          <w:sz w:val="18"/>
          <w:szCs w:val="18"/>
          <w:lang w:val="zh-TW" w:eastAsia="zh-TW"/>
        </w:rPr>
        <w:t>，</w:t>
      </w:r>
      <w:commentRangeStart w:id="4"/>
      <w:r>
        <w:rPr>
          <w:rFonts w:ascii="Times New Roman"/>
          <w:color w:val="FF0000"/>
          <w:kern w:val="0"/>
          <w:u w:color="FF0000"/>
          <w:lang w:val="en-US"/>
        </w:rPr>
        <w:t>2002</w:t>
      </w:r>
      <w:commentRangeEnd w:id="4"/>
      <w:r>
        <w:commentReference w:id="4"/>
      </w:r>
      <w:r>
        <w:rPr>
          <w:rFonts w:ascii="Times New Roman"/>
          <w:color w:val="FF0000"/>
          <w:u w:color="FF0000"/>
          <w:lang w:val="en-US"/>
        </w:rPr>
        <w:t>)</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Times New Roman"/>
          <w:color w:val="FF0000"/>
          <w:u w:color="FF0000"/>
          <w:lang w:val="en-US"/>
        </w:rPr>
        <w:t>1999)</w:t>
      </w:r>
      <w:r>
        <w:rPr>
          <w:rFonts w:ascii="Times New Roman"/>
          <w:lang w:val="en-US"/>
        </w:rPr>
        <w:t>,</w:t>
      </w:r>
      <w:r>
        <w:rPr>
          <w:rFonts w:ascii="宋体" w:hAnsi="宋体" w:eastAsia="宋体" w:cs="宋体"/>
          <w:lang w:val="zh-TW" w:eastAsia="zh-TW"/>
        </w:rPr>
        <w:t>其有助于产生对绩效贡献极大的资源和能力（李京文，</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路风等</w:t>
      </w:r>
      <w:r>
        <w:rPr>
          <w:rFonts w:ascii="宋体" w:hAnsi="宋体" w:eastAsia="宋体" w:cs="宋体"/>
          <w:sz w:val="18"/>
          <w:szCs w:val="18"/>
          <w:lang w:val="en-US"/>
        </w:rPr>
        <w:t>,</w:t>
      </w:r>
      <w:commentRangeStart w:id="5"/>
      <w:r>
        <w:rPr>
          <w:rFonts w:ascii="Times New Roman"/>
          <w:color w:val="FF0000"/>
          <w:u w:color="FF0000"/>
          <w:lang w:val="en-US"/>
        </w:rPr>
        <w:t>1998</w:t>
      </w:r>
      <w:commentRangeEnd w:id="5"/>
      <w:r>
        <w:commentReference w:id="5"/>
      </w:r>
      <w:r>
        <w:rPr>
          <w:rFonts w:ascii="Times New Roman"/>
          <w:color w:val="FF0000"/>
          <w:u w:color="FF0000"/>
          <w:lang w:val="en-US"/>
        </w:rPr>
        <w:t>)</w:t>
      </w:r>
      <w:r>
        <w:rPr>
          <w:rFonts w:ascii="Times New Roman"/>
          <w:lang w:val="en-US"/>
        </w:rPr>
        <w:t>,</w:t>
      </w:r>
      <w:r>
        <w:rPr>
          <w:rFonts w:ascii="宋体" w:hAnsi="宋体" w:eastAsia="宋体" w:cs="宋体"/>
          <w:lang w:val="zh-TW" w:eastAsia="zh-TW"/>
        </w:rPr>
        <w:t>其有助于产生对绩效贡献极大的资源和能力</w:t>
      </w:r>
      <w:r>
        <w:rPr>
          <w:rFonts w:ascii="Times New Roman"/>
          <w:color w:val="FF0000"/>
          <w:u w:color="FF0000"/>
          <w:lang w:val="en-US"/>
        </w:rPr>
        <w:t>(</w:t>
      </w:r>
      <w:r>
        <w:rPr>
          <w:rFonts w:ascii="宋体" w:hAnsi="宋体" w:eastAsia="宋体" w:cs="宋体"/>
          <w:sz w:val="18"/>
          <w:szCs w:val="18"/>
          <w:lang w:val="zh-TW" w:eastAsia="zh-TW"/>
        </w:rPr>
        <w:t>矢田俊文，</w:t>
      </w:r>
      <w:r>
        <w:rPr>
          <w:rFonts w:ascii="宋体" w:hAnsi="宋体" w:eastAsia="宋体" w:cs="宋体"/>
          <w:sz w:val="18"/>
          <w:szCs w:val="18"/>
          <w:lang w:val="en-US"/>
        </w:rPr>
        <w:t>1994)</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钟文发</w:t>
      </w:r>
      <w:r>
        <w:rPr>
          <w:rFonts w:ascii="宋体" w:hAnsi="宋体" w:eastAsia="宋体" w:cs="宋体"/>
          <w:sz w:val="18"/>
          <w:szCs w:val="18"/>
          <w:lang w:val="en-US"/>
        </w:rPr>
        <w:t>,</w:t>
      </w:r>
      <w:r>
        <w:rPr>
          <w:rFonts w:ascii="Times New Roman"/>
          <w:color w:val="FF0000"/>
          <w:u w:color="FF0000"/>
          <w:lang w:val="en-US"/>
        </w:rPr>
        <w:t>1996)</w:t>
      </w:r>
      <w:r>
        <w:rPr>
          <w:rFonts w:ascii="Times New Roman"/>
          <w:lang w:val="en-US"/>
        </w:rPr>
        <w:t>,</w:t>
      </w:r>
      <w:r>
        <w:rPr>
          <w:rFonts w:ascii="宋体" w:hAnsi="宋体" w:eastAsia="宋体" w:cs="宋体"/>
          <w:lang w:val="zh-TW" w:eastAsia="zh-TW"/>
        </w:rPr>
        <w:t>其有助于产生对绩效贡献极大的资源和能力（</w:t>
      </w:r>
      <w:r>
        <w:rPr>
          <w:rFonts w:ascii="宋体" w:hAnsi="宋体" w:eastAsia="宋体" w:cs="宋体"/>
          <w:sz w:val="18"/>
          <w:szCs w:val="18"/>
          <w:lang w:val="zh-TW" w:eastAsia="zh-TW"/>
        </w:rPr>
        <w:t>谢希德</w:t>
      </w:r>
      <w:r>
        <w:rPr>
          <w:rFonts w:ascii="宋体" w:hAnsi="宋体" w:eastAsia="宋体" w:cs="宋体"/>
          <w:lang w:val="zh-TW" w:eastAsia="zh-TW"/>
        </w:rPr>
        <w:t>，</w:t>
      </w:r>
      <w:r>
        <w:rPr>
          <w:rFonts w:ascii="Times New Roman"/>
          <w:lang w:val="en-US"/>
        </w:rPr>
        <w:t>1998</w:t>
      </w:r>
      <w:r>
        <w:rPr>
          <w:rFonts w:ascii="宋体" w:hAnsi="宋体" w:eastAsia="宋体" w:cs="宋体"/>
          <w:lang w:val="zh-TW" w:eastAsia="zh-TW"/>
        </w:rPr>
        <w:t>）。大量文献表明学习导向战略是企业取得持续竞争优势的必要组织资源</w:t>
      </w:r>
      <w:r>
        <w:rPr>
          <w:rFonts w:ascii="Times New Roman"/>
          <w:color w:val="FF0000"/>
          <w:u w:color="FF0000"/>
          <w:lang w:val="en-US"/>
        </w:rPr>
        <w:t>(</w:t>
      </w:r>
      <w:r>
        <w:rPr>
          <w:rFonts w:ascii="宋体" w:hAnsi="宋体" w:eastAsia="宋体" w:cs="宋体"/>
          <w:sz w:val="18"/>
          <w:szCs w:val="18"/>
          <w:lang w:val="zh-TW" w:eastAsia="zh-TW"/>
        </w:rPr>
        <w:t>王明亮</w:t>
      </w:r>
      <w:r>
        <w:rPr>
          <w:rFonts w:ascii="宋体" w:hAnsi="宋体" w:eastAsia="宋体" w:cs="宋体"/>
          <w:sz w:val="18"/>
          <w:szCs w:val="18"/>
          <w:lang w:val="en-US"/>
        </w:rPr>
        <w:t>,</w:t>
      </w:r>
      <w:r>
        <w:rPr>
          <w:rFonts w:ascii="Times New Roman"/>
          <w:color w:val="FF0000"/>
          <w:u w:color="FF0000"/>
          <w:lang w:val="en-US"/>
        </w:rPr>
        <w:t>2000)</w:t>
      </w:r>
      <w:r>
        <w:rPr>
          <w:rFonts w:ascii="Times New Roman"/>
          <w:lang w:val="en-US"/>
        </w:rPr>
        <w:t>,</w:t>
      </w:r>
      <w:r>
        <w:rPr>
          <w:rFonts w:ascii="宋体" w:hAnsi="宋体" w:eastAsia="宋体" w:cs="宋体"/>
          <w:lang w:val="zh-TW" w:eastAsia="zh-TW"/>
        </w:rPr>
        <w:t>其有助于产生对绩效贡献极大的资源和能力</w:t>
      </w:r>
      <w:r>
        <w:rPr>
          <w:rFonts w:ascii="Times New Roman Bold"/>
          <w:color w:val="000000"/>
          <w:u w:color="000000"/>
          <w:lang w:val="en-US"/>
        </w:rPr>
        <w:t>(</w:t>
      </w:r>
      <w:r>
        <w:rPr>
          <w:rFonts w:ascii="宋体" w:hAnsi="宋体" w:eastAsia="宋体" w:cs="宋体"/>
          <w:sz w:val="18"/>
          <w:szCs w:val="18"/>
          <w:lang w:val="zh-TW" w:eastAsia="zh-TW"/>
        </w:rPr>
        <w:t>周桂荣，周莉津，</w:t>
      </w:r>
      <w:r>
        <w:rPr>
          <w:rFonts w:ascii="宋体" w:hAnsi="宋体" w:eastAsia="宋体" w:cs="宋体"/>
          <w:sz w:val="18"/>
          <w:szCs w:val="18"/>
          <w:lang w:val="en-US"/>
        </w:rPr>
        <w:t>1998)</w:t>
      </w:r>
      <w:r>
        <w:rPr>
          <w:rFonts w:ascii="宋体" w:hAnsi="宋体" w:eastAsia="宋体" w:cs="宋体"/>
          <w:lang w:val="zh-TW" w:eastAsia="zh-TW"/>
        </w:rPr>
        <w:t>。</w:t>
      </w:r>
    </w:p>
    <w:p>
      <w:pPr>
        <w:framePr w:w="0" w:hRule="auto" w:wrap="auto" w:vAnchor="margin" w:hAnchor="text" w:yAlign="inline"/>
        <w:ind w:firstLine="630"/>
        <w:rPr>
          <w:color w:val="FF0000"/>
          <w:u w:color="FF0000"/>
        </w:rPr>
      </w:pPr>
    </w:p>
    <w:p>
      <w:pPr>
        <w:framePr w:w="0" w:hRule="auto" w:wrap="auto" w:vAnchor="margin" w:hAnchor="text" w:yAlign="inline"/>
        <w:ind w:firstLine="630"/>
      </w:pPr>
      <w:r>
        <w:rPr>
          <w:rFonts w:ascii="Times New Roman"/>
          <w:lang w:val="en-US"/>
        </w:rPr>
        <w:t>Jenson and Meckling</w:t>
      </w:r>
      <w:r>
        <w:rPr>
          <w:rFonts w:ascii="宋体" w:hAnsi="宋体" w:eastAsia="宋体" w:cs="宋体"/>
          <w:lang w:val="zh-TW" w:eastAsia="zh-TW"/>
        </w:rPr>
        <w:t>（</w:t>
      </w:r>
      <w:r>
        <w:rPr>
          <w:rFonts w:ascii="Times New Roman"/>
          <w:lang w:val="en-US"/>
        </w:rPr>
        <w:t>1976</w:t>
      </w:r>
      <w:r>
        <w:rPr>
          <w:rFonts w:ascii="宋体" w:hAnsi="宋体" w:eastAsia="宋体" w:cs="宋体"/>
          <w:lang w:val="zh-TW" w:eastAsia="zh-TW"/>
        </w:rPr>
        <w:t>）在</w:t>
      </w:r>
      <w:r>
        <w:rPr>
          <w:rFonts w:ascii="宋体" w:hAnsi="宋体" w:eastAsia="宋体" w:cs="宋体"/>
          <w:lang w:val="en-US"/>
        </w:rPr>
        <w:t>“</w:t>
      </w:r>
      <w:r>
        <w:rPr>
          <w:rFonts w:ascii="宋体" w:hAnsi="宋体" w:eastAsia="宋体" w:cs="宋体"/>
          <w:lang w:val="zh-TW" w:eastAsia="zh-TW"/>
        </w:rPr>
        <w:t>企业是契约联结点</w:t>
      </w:r>
      <w:r>
        <w:rPr>
          <w:rFonts w:ascii="宋体" w:hAnsi="宋体" w:eastAsia="宋体" w:cs="宋体"/>
          <w:lang w:val="en-US"/>
        </w:rPr>
        <w:t>”</w:t>
      </w:r>
      <w:r>
        <w:rPr>
          <w:rFonts w:ascii="宋体" w:hAnsi="宋体" w:eastAsia="宋体" w:cs="宋体"/>
          <w:lang w:val="zh-TW" w:eastAsia="zh-TW"/>
        </w:rPr>
        <w:t>基础上提出了契约对个人权利的界定决定成本与报酬在组织参与者之间的分配的观点，</w:t>
      </w:r>
      <w:r>
        <w:rPr>
          <w:rFonts w:ascii="宋体" w:hAnsi="宋体" w:eastAsia="宋体" w:cs="宋体"/>
          <w:lang w:val="en-US"/>
        </w:rPr>
        <w:t>……</w:t>
      </w:r>
      <w:r>
        <w:rPr>
          <w:rFonts w:ascii="宋体" w:hAnsi="宋体" w:eastAsia="宋体" w:cs="宋体"/>
          <w:lang w:val="zh-TW" w:eastAsia="zh-TW"/>
        </w:rPr>
        <w:t>这一假设在现实中并不成立，企业内的决策包括企业边界的调整多通过权威而非谈判的形式进行</w:t>
      </w:r>
      <w:commentRangeStart w:id="6"/>
      <w:r>
        <w:rPr>
          <w:rFonts w:ascii="宋体" w:hAnsi="宋体" w:eastAsia="宋体" w:cs="宋体"/>
          <w:lang w:val="zh-TW" w:eastAsia="zh-TW"/>
        </w:rPr>
        <w:t>（</w:t>
      </w:r>
      <w:r>
        <w:rPr>
          <w:rFonts w:ascii="Times New Roman"/>
          <w:lang w:val="en-US"/>
        </w:rPr>
        <w:t>Hart , Holmstrom</w:t>
      </w:r>
      <w:r>
        <w:rPr>
          <w:rFonts w:ascii="宋体" w:hAnsi="宋体" w:eastAsia="宋体" w:cs="宋体"/>
          <w:lang w:val="zh-TW" w:eastAsia="zh-TW"/>
        </w:rPr>
        <w:t>，</w:t>
      </w:r>
      <w:r>
        <w:rPr>
          <w:rFonts w:ascii="Times New Roman"/>
          <w:lang w:val="en-US"/>
        </w:rPr>
        <w:t>2010</w:t>
      </w:r>
      <w:r>
        <w:rPr>
          <w:rFonts w:ascii="宋体" w:hAnsi="宋体" w:eastAsia="宋体" w:cs="宋体"/>
          <w:lang w:val="zh-TW" w:eastAsia="zh-TW"/>
        </w:rPr>
        <w:t>）。</w:t>
      </w:r>
      <w:r>
        <w:rPr>
          <w:rFonts w:ascii="Times New Roman"/>
          <w:lang w:val="en-US"/>
        </w:rPr>
        <w:t>Hart and Moore</w:t>
      </w:r>
      <w:r>
        <w:rPr>
          <w:rFonts w:ascii="宋体" w:hAnsi="宋体" w:eastAsia="宋体" w:cs="宋体"/>
          <w:lang w:val="zh-TW" w:eastAsia="zh-TW"/>
        </w:rPr>
        <w:t>（</w:t>
      </w:r>
      <w:r>
        <w:rPr>
          <w:rFonts w:ascii="Times New Roman"/>
          <w:lang w:val="en-US"/>
        </w:rPr>
        <w:t>2008</w:t>
      </w:r>
      <w:r>
        <w:rPr>
          <w:rFonts w:ascii="宋体" w:hAnsi="宋体" w:eastAsia="宋体" w:cs="宋体"/>
          <w:lang w:val="zh-TW" w:eastAsia="zh-TW"/>
        </w:rPr>
        <w:t>）</w:t>
      </w:r>
      <w:commentRangeEnd w:id="6"/>
      <w:r>
        <w:commentReference w:id="6"/>
      </w:r>
      <w:r>
        <w:rPr>
          <w:rFonts w:ascii="宋体" w:hAnsi="宋体" w:eastAsia="宋体" w:cs="宋体"/>
          <w:lang w:val="zh-TW" w:eastAsia="zh-TW"/>
        </w:rPr>
        <w:t>在契约作为参照点理论的基础上，分析权威可以实现企业边界调整的效率。目前对企业边界的研究大致从三个层面展开，一是企业作为专业化分工组织，强调其协调功能；二是企业作为契约联合体，重视投资激励问题（</w:t>
      </w:r>
      <w:r>
        <w:rPr>
          <w:rFonts w:ascii="Times New Roman"/>
          <w:lang w:val="en-US"/>
        </w:rPr>
        <w:t xml:space="preserve">Klein et al.,1978 </w:t>
      </w:r>
      <w:r>
        <w:rPr>
          <w:rFonts w:ascii="宋体" w:hAnsi="宋体" w:eastAsia="宋体" w:cs="宋体"/>
          <w:lang w:val="zh-TW" w:eastAsia="zh-TW"/>
        </w:rPr>
        <w:t>；</w:t>
      </w:r>
      <w:r>
        <w:rPr>
          <w:rFonts w:ascii="Times New Roman"/>
          <w:lang w:val="en-US"/>
        </w:rPr>
        <w:t>Grossman , Hart</w:t>
      </w:r>
      <w:r>
        <w:rPr>
          <w:rFonts w:ascii="宋体" w:hAnsi="宋体" w:eastAsia="宋体" w:cs="宋体"/>
          <w:lang w:val="zh-TW" w:eastAsia="zh-TW"/>
        </w:rPr>
        <w:t>，</w:t>
      </w:r>
      <w:r>
        <w:rPr>
          <w:rFonts w:ascii="Times New Roman"/>
          <w:lang w:val="en-US"/>
        </w:rPr>
        <w:t>1986</w:t>
      </w:r>
      <w:r>
        <w:rPr>
          <w:rFonts w:ascii="宋体" w:hAnsi="宋体" w:eastAsia="宋体" w:cs="宋体"/>
          <w:lang w:val="zh-TW" w:eastAsia="zh-TW"/>
        </w:rPr>
        <w:t>；</w:t>
      </w:r>
      <w:r>
        <w:rPr>
          <w:rFonts w:ascii="Times New Roman"/>
          <w:lang w:val="en-US"/>
        </w:rPr>
        <w:t>Hart , Moore</w:t>
      </w:r>
      <w:r>
        <w:rPr>
          <w:rFonts w:ascii="宋体" w:hAnsi="宋体" w:eastAsia="宋体" w:cs="宋体"/>
          <w:lang w:val="zh-TW" w:eastAsia="zh-TW"/>
        </w:rPr>
        <w:t>，</w:t>
      </w:r>
      <w:r>
        <w:rPr>
          <w:rFonts w:ascii="Times New Roman"/>
          <w:lang w:val="en-US"/>
        </w:rPr>
        <w:t>1990</w:t>
      </w:r>
      <w:r>
        <w:rPr>
          <w:rFonts w:ascii="宋体" w:hAnsi="宋体" w:eastAsia="宋体" w:cs="宋体"/>
          <w:lang w:val="zh-TW" w:eastAsia="zh-TW"/>
        </w:rPr>
        <w:t>）</w:t>
      </w:r>
      <w:r>
        <w:rPr>
          <w:rFonts w:ascii="宋体" w:hAnsi="宋体" w:eastAsia="宋体" w:cs="宋体"/>
          <w:lang w:val="en-US"/>
        </w:rPr>
        <w:t>……</w:t>
      </w:r>
    </w:p>
    <w:p>
      <w:pPr>
        <w:framePr w:w="0" w:hRule="auto" w:wrap="auto" w:vAnchor="margin" w:hAnchor="text" w:yAlign="inline"/>
        <w:shd w:val="clear" w:color="auto" w:fill="FFFFFF"/>
        <w:ind w:firstLine="420"/>
        <w:outlineLvl w:val="2"/>
        <w:rPr>
          <w:rFonts w:ascii="宋体" w:hAnsi="宋体" w:eastAsia="宋体" w:cs="宋体"/>
          <w:kern w:val="0"/>
        </w:rPr>
      </w:pPr>
    </w:p>
    <w:p>
      <w:pPr>
        <w:framePr w:w="0" w:hRule="auto" w:wrap="auto" w:vAnchor="margin" w:hAnchor="text" w:yAlign="inline"/>
        <w:shd w:val="clear" w:color="auto" w:fill="FFFFFF"/>
        <w:ind w:firstLine="422"/>
        <w:outlineLvl w:val="2"/>
        <w:rPr>
          <w:rFonts w:ascii="黑体" w:hAnsi="黑体" w:eastAsia="黑体" w:cs="黑体"/>
          <w:b/>
          <w:bCs/>
        </w:rPr>
      </w:pPr>
    </w:p>
    <w:tbl>
      <w:tblPr>
        <w:tblStyle w:val="6"/>
        <w:tblW w:w="897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1951"/>
        <w:gridCol w:w="981"/>
        <w:gridCol w:w="1680"/>
        <w:gridCol w:w="2235"/>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Ex>
        <w:trPr>
          <w:trHeight w:val="270" w:hRule="atLeast"/>
        </w:trPr>
        <w:tc>
          <w:tcPr>
            <w:tcW w:w="8970" w:type="dxa"/>
            <w:gridSpan w:val="5"/>
            <w:tcBorders>
              <w:top w:val="nil"/>
              <w:left w:val="nil"/>
              <w:bottom w:val="single" w:color="000000" w:sz="8" w:space="0"/>
              <w:right w:val="nil"/>
            </w:tcBorders>
            <w:shd w:val="clear" w:color="auto" w:fill="auto"/>
            <w:tcMar>
              <w:top w:w="80" w:type="dxa"/>
              <w:left w:w="80" w:type="dxa"/>
              <w:bottom w:w="80" w:type="dxa"/>
              <w:right w:w="80" w:type="dxa"/>
            </w:tcMar>
            <w:vAlign w:val="top"/>
          </w:tcPr>
          <w:p>
            <w:pPr>
              <w:pStyle w:val="11"/>
              <w:framePr w:w="0" w:hRule="auto" w:wrap="auto" w:vAnchor="margin" w:hAnchor="text" w:yAlign="inline"/>
              <w:spacing w:before="0" w:after="0"/>
              <w:jc w:val="both"/>
            </w:pPr>
            <w:r>
              <w:commentReference w:id="7"/>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1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设置</w:t>
            </w:r>
            <w:r>
              <w:rPr>
                <w:rFonts w:hint="default" w:hAnsi="Times New Roman"/>
                <w:caps w:val="0"/>
                <w:smallCaps w:val="0"/>
                <w:strike w:val="0"/>
                <w:dstrike w:val="0"/>
                <w:outline w:val="0"/>
                <w:color w:val="000000"/>
                <w:spacing w:val="0"/>
                <w:kern w:val="2"/>
                <w:position w:val="0"/>
                <w:sz w:val="21"/>
                <w:szCs w:val="21"/>
                <w:u w:val="none" w:color="000000"/>
                <w:vertAlign w:val="baseline"/>
                <w:lang w:val="en-US"/>
              </w:rPr>
              <w:t>Ⅱ</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zh-TW" w:eastAsia="zh-TW"/>
              </w:rPr>
              <w:t>边界消费者不同价格下的决策分布及其比例</w:t>
            </w:r>
            <w:r>
              <w:rPr>
                <w:rFonts w:ascii="黑体" w:hAnsi="黑体" w:eastAsia="黑体" w:cs="黑体"/>
                <w:caps w:val="0"/>
                <w:smallCaps w:val="0"/>
                <w:strike w:val="0"/>
                <w:dstrike w:val="0"/>
                <w:outline w:val="0"/>
                <w:color w:val="FF0000"/>
                <w:spacing w:val="0"/>
                <w:kern w:val="2"/>
                <w:position w:val="0"/>
                <w:sz w:val="21"/>
                <w:szCs w:val="21"/>
                <w:u w:val="none" w:color="FF0000"/>
                <w:vertAlign w:val="baseline"/>
                <w:lang w:val="zh-TW" w:eastAsia="zh-TW"/>
              </w:rPr>
              <w:t xml:space="preserve">（五黑，居中）   </w:t>
            </w:r>
            <w:r>
              <w:rPr>
                <w:rFonts w:ascii="黑体" w:hAnsi="黑体" w:eastAsia="黑体" w:cs="黑体"/>
                <w:b/>
                <w:bCs/>
                <w:caps w:val="0"/>
                <w:smallCaps w:val="0"/>
                <w:strike w:val="0"/>
                <w:dstrike w:val="0"/>
                <w:outline w:val="0"/>
                <w:color w:val="000000"/>
                <w:spacing w:val="0"/>
                <w:kern w:val="2"/>
                <w:position w:val="0"/>
                <w:sz w:val="21"/>
                <w:szCs w:val="21"/>
                <w:u w:val="none" w:color="000000"/>
                <w:vertAlign w:val="baseline"/>
                <w:lang w:val="en-US"/>
              </w:rPr>
              <w:t xml:space="preserve"> </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zh-TW" w:eastAsia="zh-TW"/>
              </w:rPr>
              <w:t>单位：</w:t>
            </w:r>
            <w:r>
              <w:rPr>
                <w:rFonts w:ascii="黑体" w:hAnsi="黑体" w:eastAsia="黑体" w:cs="黑体"/>
                <w:b/>
                <w:bCs/>
                <w:caps w:val="0"/>
                <w:smallCaps w:val="0"/>
                <w:strike w:val="0"/>
                <w:dstrike w:val="0"/>
                <w:outline w:val="0"/>
                <w:color w:val="FF0000"/>
                <w:spacing w:val="0"/>
                <w:kern w:val="2"/>
                <w:position w:val="0"/>
                <w:sz w:val="21"/>
                <w:szCs w:val="21"/>
                <w:u w:val="none" w:color="FF0000"/>
                <w:vertAlign w:val="baseline"/>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535" w:hRule="atLeast"/>
        </w:trPr>
        <w:tc>
          <w:tcPr>
            <w:tcW w:w="1951" w:type="dxa"/>
            <w:tcBorders>
              <w:top w:val="single" w:color="000000" w:sz="8" w:space="0"/>
              <w:left w:val="nil"/>
              <w:bottom w:val="single" w:color="000000" w:sz="4" w:space="0"/>
              <w:right w:val="single" w:color="000000" w:sz="4" w:space="0"/>
            </w:tcBorders>
            <w:shd w:val="clear" w:color="auto" w:fill="auto"/>
            <w:tcMar>
              <w:top w:w="80" w:type="dxa"/>
              <w:left w:w="80" w:type="dxa"/>
              <w:bottom w:w="80" w:type="dxa"/>
              <w:right w:w="332" w:type="dxa"/>
            </w:tcMar>
            <w:vAlign w:val="center"/>
          </w:tcPr>
          <w:p>
            <w:pPr>
              <w:framePr w:w="0" w:hRule="auto" w:wrap="auto" w:vAnchor="margin" w:hAnchor="text" w:yAlign="inline"/>
              <w:widowControl/>
              <w:ind w:right="252"/>
              <w:jc w:val="right"/>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 xml:space="preserve"> 频数</w:t>
            </w:r>
          </w:p>
          <w:p>
            <w:pPr>
              <w:framePr w:w="0" w:hRule="auto" w:wrap="auto" w:vAnchor="margin" w:hAnchor="text" w:yAlign="inline"/>
              <w:widowControl/>
              <w:ind w:right="588"/>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价格</w:t>
            </w:r>
          </w:p>
        </w:tc>
        <w:tc>
          <w:tcPr>
            <w:tcW w:w="981"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commentReference w:id="8"/>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决策总数</w:t>
            </w:r>
            <w:r>
              <w:rPr>
                <w:rFonts w:ascii="宋体" w:hAnsi="宋体" w:eastAsia="宋体" w:cs="宋体"/>
                <w:b/>
                <w:bCs/>
                <w:caps w:val="0"/>
                <w:smallCaps w:val="0"/>
                <w:strike w:val="0"/>
                <w:dstrike w:val="0"/>
                <w:outline w:val="0"/>
                <w:color w:val="FF0000"/>
                <w:spacing w:val="0"/>
                <w:kern w:val="0"/>
                <w:position w:val="0"/>
                <w:sz w:val="18"/>
                <w:szCs w:val="18"/>
                <w:u w:val="none" w:color="FF0000"/>
                <w:vertAlign w:val="baseline"/>
                <w:lang w:val="zh-TW" w:eastAsia="zh-TW"/>
              </w:rPr>
              <w:t>（个）</w:t>
            </w:r>
          </w:p>
        </w:tc>
        <w:tc>
          <w:tcPr>
            <w:tcW w:w="1680"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不消费商品</w:t>
            </w:r>
          </w:p>
        </w:tc>
        <w:tc>
          <w:tcPr>
            <w:tcW w:w="2235" w:type="dxa"/>
            <w:tcBorders>
              <w:top w:val="single" w:color="000000" w:sz="8"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购买正版</w:t>
            </w:r>
          </w:p>
        </w:tc>
        <w:tc>
          <w:tcPr>
            <w:tcW w:w="2123" w:type="dxa"/>
            <w:tcBorders>
              <w:top w:val="single" w:color="000000" w:sz="8" w:space="0"/>
              <w:left w:val="single" w:color="000000" w:sz="4" w:space="0"/>
              <w:bottom w:val="single" w:color="000000" w:sz="4" w:space="0"/>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zh-TW" w:eastAsia="zh-TW"/>
              </w:rPr>
              <w:t>非法复制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5" w:hRule="atLeast"/>
        </w:trPr>
        <w:tc>
          <w:tcPr>
            <w:tcW w:w="1951"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P=70</w:t>
            </w:r>
          </w:p>
        </w:tc>
        <w:tc>
          <w:tcPr>
            <w:tcW w:w="981"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300</w:t>
            </w:r>
          </w:p>
        </w:tc>
        <w:tc>
          <w:tcPr>
            <w:tcW w:w="168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0.0000</w:t>
            </w:r>
          </w:p>
        </w:tc>
        <w:tc>
          <w:tcPr>
            <w:tcW w:w="2235"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50.3332</w:t>
            </w:r>
          </w:p>
        </w:tc>
        <w:tc>
          <w:tcPr>
            <w:tcW w:w="212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49.6756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P=75</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290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1.0334</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45.8667</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53.1078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20" w:hRule="atLeast"/>
        </w:trPr>
        <w:tc>
          <w:tcPr>
            <w:tcW w:w="1951"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P=80</w:t>
            </w:r>
          </w:p>
        </w:tc>
        <w:tc>
          <w:tcPr>
            <w:tcW w:w="981"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310</w:t>
            </w:r>
          </w:p>
        </w:tc>
        <w:tc>
          <w:tcPr>
            <w:tcW w:w="168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28.7132</w:t>
            </w:r>
          </w:p>
        </w:tc>
        <w:tc>
          <w:tcPr>
            <w:tcW w:w="2235"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16.4565</w:t>
            </w:r>
          </w:p>
        </w:tc>
        <w:tc>
          <w:tcPr>
            <w:tcW w:w="2123" w:type="dxa"/>
            <w:tcBorders>
              <w:top w:val="nil"/>
              <w:left w:val="single" w:color="000000" w:sz="4" w:space="0"/>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widowControl/>
              <w:jc w:val="center"/>
            </w:pPr>
            <w:r>
              <w:rPr>
                <w:rFonts w:ascii="宋体" w:hAnsi="宋体" w:eastAsia="宋体" w:cs="宋体"/>
                <w:caps w:val="0"/>
                <w:smallCaps w:val="0"/>
                <w:strike w:val="0"/>
                <w:dstrike w:val="0"/>
                <w:outline w:val="0"/>
                <w:color w:val="000000"/>
                <w:spacing w:val="0"/>
                <w:kern w:val="0"/>
                <w:position w:val="0"/>
                <w:sz w:val="18"/>
                <w:szCs w:val="18"/>
                <w:u w:val="none" w:color="000000"/>
                <w:vertAlign w:val="baseline"/>
                <w:lang w:val="en-US"/>
              </w:rPr>
              <w:t>54.8469</w:t>
            </w:r>
          </w:p>
        </w:tc>
      </w:tr>
    </w:tbl>
    <w:p>
      <w:pPr>
        <w:framePr w:w="0" w:hRule="auto" w:wrap="auto" w:vAnchor="margin" w:hAnchor="text" w:yAlign="inline"/>
        <w:shd w:val="clear" w:color="auto" w:fill="FFFFFF"/>
        <w:ind w:firstLine="422"/>
        <w:outlineLvl w:val="2"/>
        <w:rPr>
          <w:rFonts w:ascii="黑体" w:hAnsi="黑体" w:eastAsia="黑体" w:cs="黑体"/>
          <w:b/>
          <w:bCs/>
        </w:rPr>
      </w:pPr>
    </w:p>
    <w:p>
      <w:pPr>
        <w:framePr w:w="0" w:hRule="auto" w:wrap="auto" w:vAnchor="margin" w:hAnchor="text" w:yAlign="inline"/>
        <w:rPr>
          <w:sz w:val="15"/>
          <w:szCs w:val="15"/>
        </w:rPr>
      </w:pPr>
      <w:r>
        <w:rPr>
          <w:rFonts w:ascii="Times New Roman" w:hAnsi="Arial Unicode MS" w:eastAsia="Arial Unicode MS" w:cs="Arial Unicode MS"/>
          <w:lang w:val="en-US"/>
        </w:rPr>
        <w:t xml:space="preserve"> </w:t>
      </w: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注：</w:t>
      </w:r>
      <w:r>
        <w:rPr>
          <w:rFonts w:ascii="宋体" w:hAnsi="宋体" w:eastAsia="宋体" w:cs="宋体"/>
          <w:color w:val="FF0000"/>
          <w:sz w:val="15"/>
          <w:szCs w:val="15"/>
          <w:u w:color="FF0000"/>
          <w:lang w:val="zh-TW" w:eastAsia="zh-TW"/>
        </w:rPr>
        <w:t>（六宋）。</w:t>
      </w:r>
    </w:p>
    <w:p>
      <w:pPr>
        <w:framePr w:w="0" w:hRule="auto" w:wrap="auto" w:vAnchor="margin" w:hAnchor="text" w:yAlign="inline"/>
        <w:rPr>
          <w:rFonts w:ascii="宋体" w:hAnsi="宋体" w:eastAsia="宋体" w:cs="宋体"/>
          <w:color w:val="FF0000"/>
          <w:sz w:val="15"/>
          <w:szCs w:val="15"/>
          <w:u w:color="FF0000"/>
          <w:lang w:val="zh-TW" w:eastAsia="zh-TW"/>
        </w:rPr>
      </w:pPr>
      <w:r>
        <w:rPr>
          <w:rFonts w:ascii="Times New Roman" w:hAnsi="Arial Unicode MS" w:eastAsia="Arial Unicode MS" w:cs="Arial Unicode MS"/>
          <w:sz w:val="15"/>
          <w:szCs w:val="15"/>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0" w:hRule="auto" w:wrap="auto" w:vAnchor="margin" w:hAnchor="text" w:yAlign="inline"/>
        <w:rPr>
          <w:rFonts w:ascii="宋体" w:hAnsi="宋体" w:eastAsia="宋体" w:cs="宋体"/>
          <w:color w:val="FF0000"/>
          <w:sz w:val="15"/>
          <w:szCs w:val="15"/>
          <w:u w:color="FF0000"/>
          <w:lang w:val="zh-TW" w:eastAsia="zh-TW"/>
        </w:rPr>
      </w:pPr>
    </w:p>
    <w:tbl>
      <w:tblPr>
        <w:tblStyle w:val="6"/>
        <w:tblW w:w="897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Grid>
        <w:gridCol w:w="5637"/>
        <w:gridCol w:w="1690"/>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Ex>
        <w:trPr>
          <w:trHeight w:val="245" w:hRule="atLeast"/>
          <w:jc w:val="center"/>
        </w:trPr>
        <w:tc>
          <w:tcPr>
            <w:tcW w:w="8970" w:type="dxa"/>
            <w:gridSpan w:val="3"/>
            <w:tcBorders>
              <w:top w:val="nil"/>
              <w:left w:val="nil"/>
              <w:bottom w:val="single" w:color="000000" w:sz="4" w:space="0"/>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表</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en-US"/>
              </w:rPr>
              <w:t xml:space="preserve">2                                 </w:t>
            </w:r>
            <w:r>
              <w:rPr>
                <w:rFonts w:ascii="黑体" w:hAnsi="黑体" w:eastAsia="黑体" w:cs="黑体"/>
                <w:caps w:val="0"/>
                <w:smallCaps w:val="0"/>
                <w:strike w:val="0"/>
                <w:dstrike w:val="0"/>
                <w:outline w:val="0"/>
                <w:color w:val="000000"/>
                <w:spacing w:val="0"/>
                <w:kern w:val="2"/>
                <w:position w:val="0"/>
                <w:sz w:val="21"/>
                <w:szCs w:val="21"/>
                <w:u w:val="none" w:color="000000"/>
                <w:vertAlign w:val="baseline"/>
                <w:lang w:val="zh-TW" w:eastAsia="zh-TW"/>
              </w:rPr>
              <w:t>稳健性检验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10" w:hRule="atLeast"/>
          <w:jc w:val="center"/>
        </w:trPr>
        <w:tc>
          <w:tcPr>
            <w:tcW w:w="5637" w:type="dxa"/>
            <w:tcBorders>
              <w:top w:val="single" w:color="000000" w:sz="4" w:space="0"/>
              <w:left w:val="nil"/>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GYSHARE</w:t>
            </w:r>
          </w:p>
        </w:tc>
        <w:tc>
          <w:tcPr>
            <w:tcW w:w="1643" w:type="dxa"/>
            <w:tcBorders>
              <w:top w:val="single" w:color="000000" w:sz="4" w:space="0"/>
              <w:left w:val="single" w:color="000000" w:sz="4" w:space="0"/>
              <w:bottom w:val="single" w:color="000000" w:sz="4" w:space="0"/>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GEMPSHARE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7" w:hRule="atLeast"/>
          <w:jc w:val="center"/>
        </w:trPr>
        <w:tc>
          <w:tcPr>
            <w:tcW w:w="5637" w:type="dxa"/>
            <w:tcBorders>
              <w:top w:val="single" w:color="000000" w:sz="4" w:space="0"/>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LNSUBSIDY</w:t>
            </w:r>
          </w:p>
        </w:tc>
        <w:tc>
          <w:tcPr>
            <w:tcW w:w="169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0.0134***</w:t>
            </w:r>
          </w:p>
        </w:tc>
        <w:tc>
          <w:tcPr>
            <w:tcW w:w="1643" w:type="dxa"/>
            <w:tcBorders>
              <w:top w:val="single" w:color="000000" w:sz="4" w:space="0"/>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2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(0.0034)</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(0.0030)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OBS.</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4125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192"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i/>
                <w:iCs/>
                <w:caps w:val="0"/>
                <w:smallCaps w:val="0"/>
                <w:strike w:val="0"/>
                <w:dstrike w:val="0"/>
                <w:outline w:val="0"/>
                <w:color w:val="000000"/>
                <w:spacing w:val="0"/>
                <w:kern w:val="2"/>
                <w:position w:val="0"/>
                <w:sz w:val="18"/>
                <w:szCs w:val="18"/>
                <w:u w:val="none" w:color="000000"/>
                <w:vertAlign w:val="baseline"/>
                <w:lang w:val="en-US"/>
              </w:rPr>
              <w:t>R</w:t>
            </w:r>
            <w:r>
              <w:rPr>
                <w:rFonts w:ascii="Times New Roman"/>
                <w:i/>
                <w:iCs/>
                <w:caps w:val="0"/>
                <w:smallCaps w:val="0"/>
                <w:strike w:val="0"/>
                <w:dstrike w:val="0"/>
                <w:outline w:val="0"/>
                <w:color w:val="000000"/>
                <w:spacing w:val="0"/>
                <w:kern w:val="2"/>
                <w:position w:val="0"/>
                <w:sz w:val="18"/>
                <w:szCs w:val="18"/>
                <w:u w:val="none" w:color="000000"/>
                <w:vertAlign w:val="superscript"/>
                <w:lang w:val="en-US"/>
              </w:rPr>
              <w:t>2</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0.1140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0.1470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commentReference w:id="9"/>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工具变量第一阶段回归</w:t>
            </w:r>
            <w:r>
              <w:rPr>
                <w:rFonts w:ascii="Times New Roman"/>
                <w:caps w:val="0"/>
                <w:smallCaps w:val="0"/>
                <w:strike w:val="0"/>
                <w:dstrike w:val="0"/>
                <w:outline w:val="0"/>
                <w:color w:val="000000"/>
                <w:spacing w:val="0"/>
                <w:kern w:val="2"/>
                <w:position w:val="0"/>
                <w:sz w:val="21"/>
                <w:szCs w:val="21"/>
                <w:u w:val="none" w:color="000000"/>
                <w:vertAlign w:val="baseline"/>
                <w:lang w:val="en-US"/>
              </w:rPr>
              <w:t>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10.4300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14.4300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不可识别检验：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 xml:space="preserve">AR </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典则相关</w:t>
            </w:r>
            <w:r>
              <w:rPr>
                <w:rFonts w:ascii="Times New Roman"/>
                <w:caps w:val="0"/>
                <w:smallCaps w:val="0"/>
                <w:strike w:val="0"/>
                <w:dstrike w:val="0"/>
                <w:outline w:val="0"/>
                <w:color w:val="000000"/>
                <w:spacing w:val="0"/>
                <w:kern w:val="2"/>
                <w:position w:val="0"/>
                <w:sz w:val="21"/>
                <w:szCs w:val="21"/>
                <w:u w:val="none" w:color="000000"/>
                <w:vertAlign w:val="baseline"/>
                <w:lang w:val="en-US"/>
              </w:rPr>
              <w:t>LM</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2478.1700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00" w:hRule="atLeast"/>
          <w:jc w:val="center"/>
        </w:trPr>
        <w:tc>
          <w:tcPr>
            <w:tcW w:w="5637" w:type="dxa"/>
            <w:tcBorders>
              <w:top w:val="nil"/>
              <w:left w:val="nil"/>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w:t>
            </w:r>
            <w:r>
              <w:rPr>
                <w:rFonts w:ascii="Times New Roman"/>
                <w:caps w:val="0"/>
                <w:smallCaps w:val="0"/>
                <w:strike w:val="0"/>
                <w:dstrike w:val="0"/>
                <w:outline w:val="0"/>
                <w:color w:val="000000"/>
                <w:spacing w:val="0"/>
                <w:kern w:val="2"/>
                <w:position w:val="0"/>
                <w:sz w:val="21"/>
                <w:szCs w:val="21"/>
                <w:u w:val="none" w:color="000000"/>
                <w:vertAlign w:val="baseline"/>
                <w:lang w:val="en-US"/>
              </w:rPr>
              <w:t>Cragg-Donald F</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统计量</w:t>
            </w:r>
          </w:p>
        </w:tc>
        <w:tc>
          <w:tcPr>
            <w:tcW w:w="1690"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c>
          <w:tcPr>
            <w:tcW w:w="1643" w:type="dxa"/>
            <w:tcBorders>
              <w:top w:val="nil"/>
              <w:left w:val="single" w:color="000000" w:sz="4" w:space="0"/>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6142.6500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310" w:hRule="atLeast"/>
          <w:jc w:val="center"/>
        </w:trPr>
        <w:tc>
          <w:tcPr>
            <w:tcW w:w="5637" w:type="dxa"/>
            <w:tcBorders>
              <w:top w:val="nil"/>
              <w:left w:val="nil"/>
              <w:bottom w:val="single" w:color="000000" w:sz="8"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tabs>
                <w:tab w:val="right" w:pos="3995"/>
              </w:tabs>
              <w:jc w:val="left"/>
            </w:pPr>
            <w:r>
              <w:rPr>
                <w:rFonts w:ascii="Times New Roman"/>
                <w:caps w:val="0"/>
                <w:smallCaps w:val="0"/>
                <w:strike w:val="0"/>
                <w:dstrike w:val="0"/>
                <w:outline w:val="0"/>
                <w:color w:val="000000"/>
                <w:spacing w:val="0"/>
                <w:kern w:val="2"/>
                <w:position w:val="0"/>
                <w:sz w:val="21"/>
                <w:szCs w:val="21"/>
                <w:u w:val="none" w:color="000000"/>
                <w:vertAlign w:val="baseline"/>
                <w:lang w:val="en-US"/>
              </w:rPr>
              <w:t>SY</w:t>
            </w:r>
            <w:r>
              <w:rPr>
                <w:rFonts w:ascii="宋体" w:hAnsi="宋体" w:eastAsia="宋体" w:cs="宋体"/>
                <w:caps w:val="0"/>
                <w:smallCaps w:val="0"/>
                <w:strike w:val="0"/>
                <w:dstrike w:val="0"/>
                <w:outline w:val="0"/>
                <w:color w:val="000000"/>
                <w:spacing w:val="0"/>
                <w:kern w:val="2"/>
                <w:position w:val="0"/>
                <w:sz w:val="21"/>
                <w:szCs w:val="21"/>
                <w:u w:val="none" w:color="000000"/>
                <w:vertAlign w:val="baseline"/>
                <w:lang w:val="zh-TW" w:eastAsia="zh-TW"/>
              </w:rPr>
              <w:t>弱识别检验临界值：最大显著性检验水平扭曲程度</w:t>
            </w:r>
            <w:r>
              <w:rPr>
                <w:rFonts w:ascii="Times New Roman"/>
                <w:caps w:val="0"/>
                <w:smallCaps w:val="0"/>
                <w:strike w:val="0"/>
                <w:dstrike w:val="0"/>
                <w:outline w:val="0"/>
                <w:color w:val="000000"/>
                <w:spacing w:val="0"/>
                <w:kern w:val="2"/>
                <w:position w:val="0"/>
                <w:sz w:val="21"/>
                <w:szCs w:val="21"/>
                <w:u w:val="none" w:color="000000"/>
                <w:vertAlign w:val="baseline"/>
                <w:lang w:val="en-US"/>
              </w:rPr>
              <w:t>10%</w:t>
            </w:r>
          </w:p>
        </w:tc>
        <w:tc>
          <w:tcPr>
            <w:tcW w:w="1690" w:type="dxa"/>
            <w:tcBorders>
              <w:top w:val="nil"/>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c>
          <w:tcPr>
            <w:tcW w:w="1643" w:type="dxa"/>
            <w:tcBorders>
              <w:top w:val="nil"/>
              <w:left w:val="single" w:color="000000" w:sz="4" w:space="0"/>
              <w:bottom w:val="single" w:color="000000" w:sz="8" w:space="0"/>
              <w:right w:val="nil"/>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Fonts w:ascii="Times New Roman"/>
                <w:caps w:val="0"/>
                <w:smallCaps w:val="0"/>
                <w:strike w:val="0"/>
                <w:dstrike w:val="0"/>
                <w:outline w:val="0"/>
                <w:color w:val="000000"/>
                <w:spacing w:val="0"/>
                <w:kern w:val="2"/>
                <w:position w:val="0"/>
                <w:sz w:val="18"/>
                <w:szCs w:val="18"/>
                <w:u w:val="none" w:color="000000"/>
                <w:vertAlign w:val="baseline"/>
                <w:lang w:val="en-US"/>
              </w:rPr>
              <w:t>16.3800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Ex>
        <w:trPr>
          <w:trHeight w:val="456" w:hRule="atLeast"/>
          <w:jc w:val="center"/>
        </w:trPr>
        <w:tc>
          <w:tcPr>
            <w:tcW w:w="8970" w:type="dxa"/>
            <w:gridSpan w:val="3"/>
            <w:tcBorders>
              <w:top w:val="single" w:color="000000" w:sz="8" w:space="0"/>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注：</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①</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回归方法为固定效应回归；括号中是回归系数标准差；</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和</w:t>
            </w:r>
            <w:r>
              <w:rPr>
                <w:rFonts w:ascii="Times New Roman"/>
                <w:caps w:val="0"/>
                <w:smallCaps w:val="0"/>
                <w:strike w:val="0"/>
                <w:dstrike w:val="0"/>
                <w:outline w:val="0"/>
                <w:color w:val="000000"/>
                <w:spacing w:val="0"/>
                <w:kern w:val="2"/>
                <w:position w:val="0"/>
                <w:sz w:val="15"/>
                <w:szCs w:val="15"/>
                <w:u w:val="none" w:color="000000"/>
                <w:vertAlign w:val="baseline"/>
                <w:lang w:val="en-US"/>
              </w:rPr>
              <w:t>*</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分别表示</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5%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10%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的显著性水平。</w:t>
            </w:r>
            <w:r>
              <w:rPr>
                <w:rFonts w:ascii="Times New Roman"/>
                <w:caps w:val="0"/>
                <w:smallCaps w:val="0"/>
                <w:strike w:val="0"/>
                <w:dstrike w:val="0"/>
                <w:outline w:val="0"/>
                <w:color w:val="000000"/>
                <w:spacing w:val="0"/>
                <w:kern w:val="2"/>
                <w:position w:val="0"/>
                <w:sz w:val="15"/>
                <w:szCs w:val="15"/>
                <w:u w:val="none" w:color="000000"/>
                <w:vertAlign w:val="baseline"/>
                <w:lang w:val="en-US"/>
              </w:rPr>
              <w:t xml:space="preserve"> </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en-US"/>
              </w:rPr>
              <w:t>②</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所有回归中均控制行业和年份虚拟变量以及方程（</w:t>
            </w:r>
            <w:r>
              <w:rPr>
                <w:rFonts w:ascii="Times New Roman"/>
                <w:caps w:val="0"/>
                <w:smallCaps w:val="0"/>
                <w:strike w:val="0"/>
                <w:dstrike w:val="0"/>
                <w:outline w:val="0"/>
                <w:color w:val="000000"/>
                <w:spacing w:val="0"/>
                <w:kern w:val="2"/>
                <w:position w:val="0"/>
                <w:sz w:val="15"/>
                <w:szCs w:val="15"/>
                <w:u w:val="none" w:color="000000"/>
                <w:vertAlign w:val="baseline"/>
                <w:lang w:val="en-US"/>
              </w:rPr>
              <w:t>1</w:t>
            </w:r>
            <w:r>
              <w:rPr>
                <w:rFonts w:ascii="宋体" w:hAnsi="宋体" w:eastAsia="宋体" w:cs="宋体"/>
                <w:caps w:val="0"/>
                <w:smallCaps w:val="0"/>
                <w:strike w:val="0"/>
                <w:dstrike w:val="0"/>
                <w:outline w:val="0"/>
                <w:color w:val="000000"/>
                <w:spacing w:val="0"/>
                <w:kern w:val="2"/>
                <w:position w:val="0"/>
                <w:sz w:val="15"/>
                <w:szCs w:val="15"/>
                <w:u w:val="none" w:color="000000"/>
                <w:vertAlign w:val="baseline"/>
                <w:lang w:val="zh-TW" w:eastAsia="zh-TW"/>
              </w:rPr>
              <w:t>）中所有行业特征控制变量。</w:t>
            </w:r>
          </w:p>
        </w:tc>
      </w:tr>
    </w:tbl>
    <w:p>
      <w:pPr>
        <w:framePr w:w="0" w:hRule="auto" w:wrap="auto" w:vAnchor="margin" w:hAnchor="text" w:yAlign="inline"/>
        <w:jc w:val="center"/>
        <w:rPr>
          <w:rFonts w:ascii="宋体" w:hAnsi="宋体" w:eastAsia="宋体" w:cs="宋体"/>
          <w:color w:val="FF0000"/>
          <w:sz w:val="15"/>
          <w:szCs w:val="15"/>
          <w:u w:color="FF0000"/>
          <w:lang w:val="zh-TW" w:eastAsia="zh-TW"/>
        </w:rPr>
      </w:pPr>
    </w:p>
    <w:p>
      <w:pPr>
        <w:framePr w:w="0" w:hRule="auto" w:wrap="auto" w:vAnchor="margin" w:hAnchor="text" w:yAlign="inline"/>
        <w:rPr>
          <w:rFonts w:ascii="宋体" w:hAnsi="宋体" w:eastAsia="宋体" w:cs="宋体"/>
        </w:rPr>
      </w:pPr>
    </w:p>
    <w:p>
      <w:pPr>
        <w:framePr w:w="0" w:hRule="auto" w:wrap="auto" w:vAnchor="margin" w:hAnchor="text" w:yAlign="inline"/>
        <w:ind w:firstLine="418"/>
        <w:rPr>
          <w:color w:val="FF0000"/>
          <w:u w:color="FF0000"/>
        </w:rPr>
      </w:pPr>
      <w:r>
        <w:rPr>
          <w:rFonts w:ascii="宋体" w:hAnsi="宋体" w:eastAsia="宋体" w:cs="宋体"/>
          <w:color w:val="FF0000"/>
          <w:u w:color="FF0000"/>
          <w:lang w:val="zh-TW" w:eastAsia="zh-TW"/>
        </w:rPr>
        <w:t>图有图名，图名在下；表有表名，表名在上。图、表必须标注数字单位和资料来源。而且，正文文字在前，图、表在后。其中，表格尽量简化，一般为三线开口表。</w:t>
      </w:r>
      <w:r>
        <w:rPr>
          <w:color w:val="FF0000"/>
          <w:u w:color="FF0000"/>
        </w:rPr>
        <w:br w:type="textWrapping"/>
      </w:r>
      <w:commentRangeStart w:id="10"/>
    </w:p>
    <w:p>
      <w:pPr>
        <w:framePr w:w="0" w:hRule="auto" w:wrap="auto" w:vAnchor="margin" w:hAnchor="text" w:yAlign="inline"/>
        <w:ind w:firstLine="418"/>
        <w:rPr>
          <w:rFonts w:ascii="宋体" w:hAnsi="宋体" w:eastAsia="宋体" w:cs="宋体"/>
          <w:color w:val="FF0000"/>
          <w:u w:color="FF0000"/>
        </w:rPr>
      </w:pPr>
      <w:r>
        <w:rPr>
          <w:rFonts w:ascii="宋体" w:hAnsi="宋体" w:eastAsia="宋体" w:cs="宋体"/>
          <w:color w:val="FF0000"/>
          <w:u w:color="FF0000"/>
          <w:lang w:val="zh-TW" w:eastAsia="zh-TW"/>
        </w:rPr>
        <w:t>图尽量压缩空间，优化版面。</w:t>
      </w:r>
      <w:commentRangeEnd w:id="10"/>
      <w:r>
        <w:commentReference w:id="10"/>
      </w:r>
    </w:p>
    <w:p>
      <w:pPr>
        <w:framePr w:w="0" w:hRule="auto" w:wrap="auto" w:vAnchor="margin" w:hAnchor="text" w:yAlign="inline"/>
        <w:ind w:firstLine="358"/>
        <w:rPr>
          <w:rFonts w:ascii="宋体" w:hAnsi="宋体" w:eastAsia="宋体" w:cs="宋体"/>
          <w:sz w:val="18"/>
          <w:szCs w:val="18"/>
        </w:rPr>
      </w:pPr>
    </w:p>
    <w:p>
      <w:pPr>
        <w:framePr w:w="0" w:hRule="auto" w:wrap="auto" w:vAnchor="margin" w:hAnchor="text" w:yAlign="inline"/>
        <w:ind w:firstLine="418"/>
        <w:rPr>
          <w:rFonts w:ascii="宋体" w:hAnsi="宋体" w:eastAsia="宋体" w:cs="宋体"/>
          <w:sz w:val="18"/>
          <w:szCs w:val="18"/>
        </w:rPr>
      </w:pPr>
      <w:r>
        <w:drawing>
          <wp:inline distT="0" distB="0" distL="0" distR="0">
            <wp:extent cx="5270500" cy="2993390"/>
            <wp:effectExtent l="0" t="0" r="0" b="0"/>
            <wp:docPr id="1073741825" name="officeArt object" descr="75"/>
            <wp:cNvGraphicFramePr/>
            <a:graphic xmlns:a="http://schemas.openxmlformats.org/drawingml/2006/main">
              <a:graphicData uri="http://schemas.openxmlformats.org/drawingml/2006/picture">
                <pic:pic xmlns:pic="http://schemas.openxmlformats.org/drawingml/2006/picture">
                  <pic:nvPicPr>
                    <pic:cNvPr id="1073741825" name="officeArt object" descr="75"/>
                    <pic:cNvPicPr/>
                  </pic:nvPicPr>
                  <pic:blipFill>
                    <a:blip r:embed="rId8"/>
                    <a:stretch>
                      <a:fillRect/>
                    </a:stretch>
                  </pic:blipFill>
                  <pic:spPr>
                    <a:xfrm>
                      <a:off x="0" y="0"/>
                      <a:ext cx="5270500" cy="2993390"/>
                    </a:xfrm>
                    <a:prstGeom prst="rect">
                      <a:avLst/>
                    </a:prstGeom>
                    <a:ln w="12700" cap="flat">
                      <a:noFill/>
                      <a:miter lim="400000"/>
                      <a:headEnd/>
                      <a:tailEnd/>
                    </a:ln>
                    <a:effectLst/>
                  </pic:spPr>
                </pic:pic>
              </a:graphicData>
            </a:graphic>
          </wp:inline>
        </w:drawing>
      </w:r>
    </w:p>
    <w:p>
      <w:pPr>
        <w:framePr w:w="0" w:hRule="auto" w:wrap="auto" w:vAnchor="margin" w:hAnchor="text" w:yAlign="inline"/>
        <w:ind w:firstLine="358"/>
        <w:rPr>
          <w:rFonts w:ascii="宋体" w:hAnsi="宋体" w:eastAsia="宋体" w:cs="宋体"/>
          <w:sz w:val="18"/>
          <w:szCs w:val="18"/>
        </w:rPr>
      </w:pPr>
      <w:r>
        <w:rPr>
          <w:rFonts w:ascii="宋体" w:hAnsi="宋体" w:eastAsia="宋体" w:cs="宋体"/>
          <w:sz w:val="18"/>
          <w:szCs w:val="18"/>
          <w:lang w:val="en-US"/>
        </w:rPr>
        <w:t xml:space="preserve">         </w:t>
      </w:r>
      <w:r>
        <w:rPr>
          <w:rFonts w:ascii="宋体" w:hAnsi="宋体" w:eastAsia="宋体" w:cs="宋体"/>
          <w:sz w:val="15"/>
          <w:szCs w:val="15"/>
          <w:lang w:val="zh-TW" w:eastAsia="zh-TW"/>
        </w:rPr>
        <w:t>资料来源：</w:t>
      </w:r>
      <w:r>
        <w:rPr>
          <w:rFonts w:ascii="宋体" w:hAnsi="宋体" w:eastAsia="宋体" w:cs="宋体"/>
          <w:color w:val="FF0000"/>
          <w:sz w:val="15"/>
          <w:szCs w:val="15"/>
          <w:u w:color="FF0000"/>
          <w:lang w:val="zh-TW" w:eastAsia="zh-TW"/>
        </w:rPr>
        <w:t>（六宋）。</w:t>
      </w:r>
    </w:p>
    <w:p>
      <w:pPr>
        <w:framePr w:w="0" w:hRule="auto" w:wrap="auto" w:vAnchor="margin" w:hAnchor="text" w:yAlign="inline"/>
        <w:jc w:val="center"/>
        <w:rPr>
          <w:rFonts w:ascii="Times New Roman Bold" w:hAnsi="Times New Roman Bold" w:eastAsia="Times New Roman Bold" w:cs="Times New Roman Bold"/>
        </w:rPr>
      </w:pPr>
    </w:p>
    <w:p>
      <w:pPr>
        <w:framePr w:w="0" w:hRule="auto" w:wrap="auto" w:vAnchor="margin" w:hAnchor="text" w:yAlign="inline"/>
        <w:ind w:left="7931" w:hanging="7931"/>
        <w:rPr>
          <w:rFonts w:ascii="宋体" w:hAnsi="宋体" w:eastAsia="宋体" w:cs="宋体"/>
          <w:b/>
          <w:bCs/>
        </w:rPr>
      </w:pPr>
      <w:r>
        <w:rPr>
          <w:rFonts w:ascii="宋体" w:hAnsi="宋体" w:eastAsia="宋体" w:cs="宋体"/>
          <w:b/>
          <w:bCs/>
          <w:lang w:val="en-US"/>
        </w:rPr>
        <w:t xml:space="preserve">                                                                      </w:t>
      </w:r>
    </w:p>
    <w:p>
      <w:pPr>
        <w:framePr w:w="0" w:hRule="auto" w:wrap="auto" w:vAnchor="margin" w:hAnchor="text" w:yAlign="inline"/>
        <w:ind w:left="7931" w:hanging="7931"/>
        <w:rPr>
          <w:rFonts w:ascii="宋体" w:hAnsi="宋体" w:eastAsia="宋体" w:cs="宋体"/>
          <w:b/>
          <w:bCs/>
        </w:rPr>
      </w:pPr>
    </w:p>
    <w:p>
      <w:pPr>
        <w:framePr w:w="0" w:hRule="auto" w:wrap="auto" w:vAnchor="margin" w:hAnchor="text" w:yAlign="inline"/>
        <w:ind w:left="7931" w:hanging="7931"/>
        <w:rPr>
          <w:rFonts w:ascii="宋体" w:hAnsi="宋体" w:eastAsia="宋体" w:cs="宋体"/>
          <w:b/>
          <w:bCs/>
        </w:rPr>
      </w:pPr>
    </w:p>
    <w:p>
      <w:pPr>
        <w:framePr w:w="0" w:hRule="auto" w:wrap="auto" w:vAnchor="margin" w:hAnchor="text" w:yAlign="inline"/>
        <w:ind w:left="7900" w:hanging="7900"/>
        <w:rPr>
          <w:rFonts w:ascii="宋体" w:hAnsi="宋体" w:eastAsia="宋体" w:cs="宋体"/>
          <w:b/>
          <w:bCs/>
        </w:rPr>
      </w:pPr>
    </w:p>
    <w:p>
      <w:pPr>
        <w:framePr w:w="0" w:hRule="auto" w:wrap="auto" w:vAnchor="margin" w:hAnchor="text" w:yAlign="inline"/>
        <w:rPr>
          <w:rFonts w:ascii="Times New Roman Bold" w:hAnsi="Times New Roman Bold" w:eastAsia="Times New Roman Bold" w:cs="Times New Roman Bold"/>
        </w:rPr>
      </w:pPr>
    </w:p>
    <w:p>
      <w:pPr>
        <w:framePr w:w="0" w:hRule="auto" w:wrap="auto" w:vAnchor="margin" w:hAnchor="text" w:yAlign="inline"/>
        <w:rPr>
          <w:rFonts w:ascii="Times New Roman Bold" w:hAnsi="Times New Roman Bold" w:eastAsia="Times New Roman Bold" w:cs="Times New Roman Bold"/>
          <w:color w:val="FF0000"/>
          <w:u w:color="FF0000"/>
        </w:rPr>
      </w:pPr>
      <w:r>
        <w:rPr>
          <w:rFonts w:ascii="Times New Roman Bold"/>
          <w:sz w:val="24"/>
          <w:szCs w:val="24"/>
          <w:lang w:val="en-US"/>
        </w:rPr>
        <w:t xml:space="preserve">   </w:t>
      </w:r>
      <w:r>
        <w:rPr>
          <w:rFonts w:ascii="Times New Roman Bold"/>
          <w:lang w:val="en-US"/>
        </w:rPr>
        <w:t xml:space="preserve">                       </w:t>
      </w:r>
      <w:r>
        <w:rPr>
          <w:rFonts w:ascii="宋体" w:hAnsi="宋体" w:eastAsia="宋体" w:cs="宋体"/>
          <w:b/>
          <w:bCs/>
          <w:lang w:val="zh-TW" w:eastAsia="zh-TW"/>
        </w:rPr>
        <w:t>〔</w:t>
      </w:r>
      <w:r>
        <w:rPr>
          <w:rFonts w:ascii="黑体" w:hAnsi="黑体" w:eastAsia="黑体" w:cs="黑体"/>
          <w:b/>
          <w:bCs/>
          <w:lang w:val="zh-TW" w:eastAsia="zh-TW"/>
        </w:rPr>
        <w:t>参考文献</w:t>
      </w:r>
      <w:r>
        <w:rPr>
          <w:rFonts w:ascii="宋体" w:hAnsi="宋体" w:eastAsia="宋体" w:cs="宋体"/>
          <w:b/>
          <w:bCs/>
          <w:lang w:val="zh-TW" w:eastAsia="zh-TW"/>
        </w:rPr>
        <w:t>〕</w:t>
      </w:r>
      <w:r>
        <w:rPr>
          <w:rFonts w:ascii="黑体" w:hAnsi="黑体" w:eastAsia="黑体" w:cs="黑体"/>
          <w:b/>
          <w:bCs/>
          <w:color w:val="FF0000"/>
          <w:u w:color="FF0000"/>
          <w:lang w:val="zh-TW" w:eastAsia="zh-TW"/>
        </w:rPr>
        <w:t>（五黑，居中）</w:t>
      </w:r>
    </w:p>
    <w:p>
      <w:pPr>
        <w:framePr w:w="0" w:hRule="auto" w:wrap="auto" w:vAnchor="margin" w:hAnchor="text" w:yAlign="inline"/>
        <w:ind w:firstLine="644"/>
        <w:rPr>
          <w:rFonts w:ascii="Times New Roman Bold" w:hAnsi="Times New Roman Bold" w:eastAsia="Times New Roman Bold" w:cs="Times New Roman Bold"/>
          <w:color w:val="FF0000"/>
          <w:sz w:val="28"/>
          <w:szCs w:val="28"/>
          <w:u w:val="thick" w:color="FF0000"/>
        </w:rPr>
      </w:pPr>
      <w:r>
        <w:rPr>
          <w:rFonts w:ascii="黑体" w:hAnsi="黑体" w:eastAsia="黑体" w:cs="黑体"/>
          <w:b/>
          <w:bCs/>
          <w:color w:val="FF0000"/>
          <w:sz w:val="28"/>
          <w:szCs w:val="28"/>
          <w:u w:val="thick" w:color="FF0000"/>
          <w:lang w:val="zh-TW" w:eastAsia="zh-TW"/>
        </w:rPr>
        <w:t>重点注意</w:t>
      </w:r>
      <w:r>
        <w:rPr>
          <w:rFonts w:ascii="Times New Roman Bold"/>
          <w:color w:val="FF0000"/>
          <w:sz w:val="28"/>
          <w:szCs w:val="28"/>
          <w:u w:val="thick" w:color="FF0000"/>
          <w:lang w:val="en-US"/>
        </w:rPr>
        <w:t xml:space="preserve">: </w:t>
      </w:r>
    </w:p>
    <w:p>
      <w:pPr>
        <w:framePr w:w="0" w:hRule="auto" w:wrap="auto" w:vAnchor="margin" w:hAnchor="text" w:yAlign="inline"/>
        <w:ind w:firstLine="550"/>
        <w:rPr>
          <w:rFonts w:ascii="宋体" w:hAnsi="宋体" w:eastAsia="宋体" w:cs="宋体"/>
          <w:sz w:val="24"/>
          <w:szCs w:val="24"/>
        </w:rPr>
      </w:pPr>
      <w:r>
        <w:rPr>
          <w:rFonts w:ascii="宋体" w:hAnsi="宋体" w:eastAsia="宋体" w:cs="宋体"/>
          <w:sz w:val="24"/>
          <w:szCs w:val="24"/>
          <w:lang w:val="zh-TW" w:eastAsia="zh-TW"/>
        </w:rPr>
        <w:t>文后参考文献列示，</w:t>
      </w:r>
      <w:r>
        <w:rPr>
          <w:rFonts w:ascii="宋体" w:hAnsi="宋体" w:eastAsia="宋体" w:cs="宋体"/>
          <w:color w:val="FF0000"/>
          <w:sz w:val="24"/>
          <w:szCs w:val="24"/>
          <w:u w:color="FF0000"/>
          <w:lang w:val="zh-TW" w:eastAsia="zh-TW"/>
        </w:rPr>
        <w:t>一要作者全面，二要注意顺序</w:t>
      </w:r>
      <w:r>
        <w:rPr>
          <w:rFonts w:ascii="宋体" w:hAnsi="宋体" w:eastAsia="宋体" w:cs="宋体"/>
          <w:sz w:val="24"/>
          <w:szCs w:val="24"/>
          <w:lang w:val="zh-TW" w:eastAsia="zh-TW"/>
        </w:rPr>
        <w:t>，即英文参考文献按出现次序一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一对应在前</w:t>
      </w:r>
      <w:r>
        <w:rPr>
          <w:rFonts w:ascii="宋体" w:hAnsi="宋体" w:eastAsia="宋体" w:cs="宋体"/>
          <w:sz w:val="24"/>
          <w:szCs w:val="24"/>
          <w:lang w:val="en-US"/>
        </w:rPr>
        <w:t>,</w:t>
      </w:r>
      <w:r>
        <w:rPr>
          <w:rFonts w:ascii="宋体" w:hAnsi="宋体" w:eastAsia="宋体" w:cs="宋体"/>
          <w:sz w:val="24"/>
          <w:szCs w:val="24"/>
          <w:lang w:val="zh-TW" w:eastAsia="zh-TW"/>
        </w:rPr>
        <w:t>中文参考文献按出现顺序一</w:t>
      </w:r>
      <w:r>
        <w:rPr>
          <w:rFonts w:ascii="宋体" w:hAnsi="宋体" w:eastAsia="宋体" w:cs="宋体"/>
          <w:sz w:val="24"/>
          <w:szCs w:val="24"/>
          <w:lang w:val="en-US"/>
        </w:rPr>
        <w:t xml:space="preserve"> </w:t>
      </w:r>
      <w:r>
        <w:rPr>
          <w:rFonts w:ascii="宋体" w:hAnsi="宋体" w:eastAsia="宋体" w:cs="宋体"/>
          <w:sz w:val="24"/>
          <w:szCs w:val="24"/>
          <w:lang w:val="zh-TW" w:eastAsia="zh-TW"/>
        </w:rPr>
        <w:t>一对应在后，且英文单词首字母一律大写。</w:t>
      </w:r>
    </w:p>
    <w:p>
      <w:pPr>
        <w:framePr w:w="0" w:hRule="auto" w:wrap="auto" w:vAnchor="margin" w:hAnchor="text" w:yAlign="inline"/>
        <w:ind w:firstLine="644"/>
        <w:rPr>
          <w:rFonts w:ascii="Times New Roman Bold" w:hAnsi="Times New Roman Bold" w:eastAsia="Times New Roman Bold" w:cs="Times New Roman Bold"/>
          <w:color w:val="FF0000"/>
          <w:sz w:val="28"/>
          <w:szCs w:val="28"/>
          <w:u w:color="FF0000"/>
        </w:rPr>
      </w:pPr>
    </w:p>
    <w:p>
      <w:pPr>
        <w:framePr w:w="0" w:hRule="auto" w:wrap="auto" w:vAnchor="margin" w:hAnchor="text" w:yAlign="inline"/>
        <w:ind w:firstLine="483"/>
        <w:rPr>
          <w:rFonts w:ascii="Times New Roman Bold" w:hAnsi="Times New Roman Bold" w:eastAsia="Times New Roman Bold" w:cs="Times New Roman Bold"/>
        </w:rPr>
      </w:pPr>
      <w:r>
        <w:rPr>
          <w:rFonts w:ascii="黑体" w:hAnsi="黑体" w:eastAsia="黑体" w:cs="黑体"/>
          <w:b/>
          <w:bCs/>
          <w:color w:val="FF0000"/>
          <w:u w:color="FF0000"/>
          <w:lang w:val="zh-TW" w:eastAsia="zh-TW"/>
        </w:rPr>
        <w:t>参考文献和注释的区别：参考文献是作者撰写论著时所引用的已公开发表的文献书目，应在正文中标注的同时文后集中列示；本刊注释主要是释义性注释，是对论著正文中某一特定内容的进一步解释或补充说明，应在当页脚下注。</w:t>
      </w:r>
    </w:p>
    <w:p>
      <w:pPr>
        <w:framePr w:w="0" w:hRule="auto" w:wrap="auto" w:vAnchor="margin" w:hAnchor="text" w:yAlign="inline"/>
        <w:spacing w:after="60"/>
        <w:ind w:left="719" w:hanging="360"/>
        <w:rPr>
          <w:rFonts w:ascii="宋体" w:hAnsi="宋体" w:eastAsia="宋体" w:cs="宋体"/>
          <w:sz w:val="18"/>
          <w:szCs w:val="18"/>
        </w:rPr>
      </w:pPr>
      <w:r>
        <w:rPr>
          <w:rFonts w:ascii="宋体" w:hAnsi="宋体" w:eastAsia="宋体" w:cs="宋体"/>
          <w:sz w:val="18"/>
          <w:szCs w:val="18"/>
          <w:lang w:val="en-US"/>
        </w:rPr>
        <w:t xml:space="preserve"> [</w:t>
      </w:r>
      <w:commentRangeStart w:id="11"/>
      <w:r>
        <w:rPr>
          <w:rFonts w:ascii="宋体" w:hAnsi="宋体" w:eastAsia="宋体" w:cs="宋体"/>
          <w:sz w:val="18"/>
          <w:szCs w:val="18"/>
          <w:lang w:val="en-US"/>
        </w:rPr>
        <w:t>1</w:t>
      </w:r>
      <w:commentRangeEnd w:id="11"/>
      <w:r>
        <w:commentReference w:id="11"/>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udia,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G</w:t>
      </w:r>
      <w:r>
        <w:rPr>
          <w:rFonts w:ascii="宋体" w:hAnsi="宋体" w:eastAsia="宋体" w:cs="宋体"/>
          <w:sz w:val="18"/>
          <w:szCs w:val="18"/>
          <w:lang w:val="en-US"/>
        </w:rPr>
        <w:t xml:space="preserve">., </w:t>
      </w:r>
      <w:r>
        <w:rPr>
          <w:rFonts w:ascii="宋体" w:hAnsi="宋体" w:eastAsia="宋体" w:cs="宋体"/>
          <w:color w:val="FF0000"/>
          <w:sz w:val="18"/>
          <w:szCs w:val="18"/>
          <w:u w:color="FF0000"/>
          <w:lang w:val="en-US"/>
        </w:rPr>
        <w:t>E. A. L</w:t>
      </w:r>
      <w:r>
        <w:rPr>
          <w:rFonts w:ascii="宋体" w:hAnsi="宋体" w:eastAsia="宋体" w:cs="宋体"/>
          <w:sz w:val="18"/>
          <w:szCs w:val="18"/>
          <w:lang w:val="en-US"/>
        </w:rPr>
        <w:t xml:space="preserve">ocke, and </w:t>
      </w:r>
      <w:r>
        <w:rPr>
          <w:rFonts w:ascii="宋体" w:hAnsi="宋体" w:eastAsia="宋体" w:cs="宋体"/>
          <w:color w:val="FF0000"/>
          <w:sz w:val="18"/>
          <w:szCs w:val="18"/>
          <w:u w:color="FF0000"/>
          <w:lang w:val="en-US"/>
        </w:rPr>
        <w:t>K. G. S</w:t>
      </w:r>
      <w:r>
        <w:rPr>
          <w:rFonts w:ascii="宋体" w:hAnsi="宋体" w:eastAsia="宋体" w:cs="宋体"/>
          <w:sz w:val="18"/>
          <w:szCs w:val="18"/>
          <w:lang w:val="en-US"/>
        </w:rPr>
        <w:t>mith.</w:t>
      </w:r>
      <w:r>
        <w:rPr>
          <w:rFonts w:ascii="宋体" w:hAnsi="宋体" w:eastAsia="宋体" w:cs="宋体"/>
          <w:color w:val="FF0000"/>
          <w:sz w:val="18"/>
          <w:szCs w:val="18"/>
          <w:u w:color="FF0000"/>
          <w:lang w:val="en-US"/>
        </w:rPr>
        <w:t>T</w:t>
      </w:r>
      <w:r>
        <w:rPr>
          <w:rFonts w:ascii="宋体" w:hAnsi="宋体" w:eastAsia="宋体" w:cs="宋体"/>
          <w:sz w:val="18"/>
          <w:szCs w:val="18"/>
          <w:lang w:val="en-US"/>
        </w:rPr>
        <w:t xml:space="preserve">he </w:t>
      </w:r>
      <w:r>
        <w:rPr>
          <w:rFonts w:ascii="宋体" w:hAnsi="宋体" w:eastAsia="宋体" w:cs="宋体"/>
          <w:color w:val="FF0000"/>
          <w:sz w:val="18"/>
          <w:szCs w:val="18"/>
          <w:u w:color="FF0000"/>
          <w:lang w:val="en-US"/>
        </w:rPr>
        <w:t>P</w:t>
      </w:r>
      <w:r>
        <w:rPr>
          <w:rFonts w:ascii="宋体" w:hAnsi="宋体" w:eastAsia="宋体" w:cs="宋体"/>
          <w:sz w:val="18"/>
          <w:szCs w:val="18"/>
          <w:lang w:val="en-US"/>
        </w:rPr>
        <w:t xml:space="preserve">aradox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uccess: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n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rchival and </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 </w:t>
      </w:r>
      <w:r>
        <w:rPr>
          <w:rFonts w:ascii="宋体" w:hAnsi="宋体" w:eastAsia="宋体" w:cs="宋体"/>
          <w:b/>
          <w:bCs/>
          <w:color w:val="FF0000"/>
          <w:sz w:val="18"/>
          <w:szCs w:val="18"/>
          <w:u w:color="FF0000"/>
          <w:lang w:val="en-US"/>
        </w:rPr>
        <w:t>L</w:t>
      </w:r>
      <w:r>
        <w:rPr>
          <w:rFonts w:ascii="宋体" w:hAnsi="宋体" w:eastAsia="宋体" w:cs="宋体"/>
          <w:sz w:val="18"/>
          <w:szCs w:val="18"/>
          <w:lang w:val="en-US"/>
        </w:rPr>
        <w:t xml:space="preserve">aboratory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tudy of </w:t>
      </w:r>
      <w:r>
        <w:rPr>
          <w:rFonts w:ascii="宋体" w:hAnsi="宋体" w:eastAsia="宋体" w:cs="宋体"/>
          <w:b/>
          <w:bCs/>
          <w:color w:val="FF0000"/>
          <w:sz w:val="18"/>
          <w:szCs w:val="18"/>
          <w:u w:color="FF0000"/>
          <w:lang w:val="en-US"/>
        </w:rPr>
        <w:t>S</w:t>
      </w:r>
      <w:r>
        <w:rPr>
          <w:rFonts w:ascii="宋体" w:hAnsi="宋体" w:eastAsia="宋体" w:cs="宋体"/>
          <w:sz w:val="18"/>
          <w:szCs w:val="18"/>
          <w:lang w:val="en-US"/>
        </w:rPr>
        <w:t xml:space="preserve">trategic </w:t>
      </w:r>
      <w:r>
        <w:rPr>
          <w:rFonts w:ascii="宋体" w:hAnsi="宋体" w:eastAsia="宋体" w:cs="宋体"/>
          <w:b/>
          <w:bCs/>
          <w:color w:val="FF0000"/>
          <w:sz w:val="18"/>
          <w:szCs w:val="18"/>
          <w:u w:color="FF0000"/>
          <w:lang w:val="en-US"/>
        </w:rPr>
        <w:t>P</w:t>
      </w:r>
      <w:r>
        <w:rPr>
          <w:rFonts w:ascii="宋体" w:hAnsi="宋体" w:eastAsia="宋体" w:cs="宋体"/>
          <w:sz w:val="18"/>
          <w:szCs w:val="18"/>
          <w:lang w:val="en-US"/>
        </w:rPr>
        <w:t xml:space="preserve">ersistence </w:t>
      </w:r>
      <w:r>
        <w:rPr>
          <w:rFonts w:ascii="宋体" w:hAnsi="宋体" w:eastAsia="宋体" w:cs="宋体"/>
          <w:b/>
          <w:bCs/>
          <w:color w:val="FF0000"/>
          <w:sz w:val="18"/>
          <w:szCs w:val="18"/>
          <w:u w:color="FF0000"/>
          <w:lang w:val="en-US"/>
        </w:rPr>
        <w:t>F</w:t>
      </w:r>
      <w:r>
        <w:rPr>
          <w:rFonts w:ascii="宋体" w:hAnsi="宋体" w:eastAsia="宋体" w:cs="宋体"/>
          <w:sz w:val="18"/>
          <w:szCs w:val="18"/>
          <w:lang w:val="en-US"/>
        </w:rPr>
        <w:t xml:space="preserve">ollowing </w:t>
      </w:r>
      <w:r>
        <w:rPr>
          <w:rFonts w:ascii="宋体" w:hAnsi="宋体" w:eastAsia="宋体" w:cs="宋体"/>
          <w:b/>
          <w:bCs/>
          <w:color w:val="FF0000"/>
          <w:sz w:val="18"/>
          <w:szCs w:val="18"/>
          <w:u w:color="FF0000"/>
          <w:lang w:val="en-US"/>
        </w:rPr>
        <w:t>R</w:t>
      </w:r>
      <w:r>
        <w:rPr>
          <w:rFonts w:ascii="宋体" w:hAnsi="宋体" w:eastAsia="宋体" w:cs="宋体"/>
          <w:sz w:val="18"/>
          <w:szCs w:val="18"/>
          <w:lang w:val="en-US"/>
        </w:rPr>
        <w:t xml:space="preserve">adical </w:t>
      </w:r>
      <w:r>
        <w:rPr>
          <w:rFonts w:ascii="宋体" w:hAnsi="宋体" w:eastAsia="宋体" w:cs="宋体"/>
          <w:b/>
          <w:bCs/>
          <w:color w:val="FF0000"/>
          <w:sz w:val="18"/>
          <w:szCs w:val="18"/>
          <w:u w:color="FF0000"/>
          <w:lang w:val="en-US"/>
        </w:rPr>
        <w:t>E</w:t>
      </w:r>
      <w:r>
        <w:rPr>
          <w:rFonts w:ascii="宋体" w:hAnsi="宋体" w:eastAsia="宋体" w:cs="宋体"/>
          <w:sz w:val="18"/>
          <w:szCs w:val="18"/>
          <w:lang w:val="en-US"/>
        </w:rPr>
        <w:t xml:space="preserve">nvironmental </w:t>
      </w:r>
      <w:r>
        <w:rPr>
          <w:rFonts w:ascii="宋体" w:hAnsi="宋体" w:eastAsia="宋体" w:cs="宋体"/>
          <w:b/>
          <w:bCs/>
          <w:color w:val="FF0000"/>
          <w:sz w:val="18"/>
          <w:szCs w:val="18"/>
          <w:u w:color="FF0000"/>
          <w:lang w:val="en-US"/>
        </w:rPr>
        <w:t>C</w:t>
      </w:r>
      <w:r>
        <w:rPr>
          <w:rFonts w:ascii="宋体" w:hAnsi="宋体" w:eastAsia="宋体" w:cs="宋体"/>
          <w:sz w:val="18"/>
          <w:szCs w:val="18"/>
          <w:lang w:val="en-US"/>
        </w:rPr>
        <w:t>hange[J].</w:t>
      </w:r>
      <w:r>
        <w:rPr>
          <w:rFonts w:ascii="宋体" w:hAnsi="宋体" w:eastAsia="宋体" w:cs="宋体"/>
          <w:b/>
          <w:bCs/>
          <w:color w:val="FF0000"/>
          <w:sz w:val="18"/>
          <w:szCs w:val="18"/>
          <w:u w:color="FF0000"/>
          <w:lang w:val="en-US"/>
        </w:rPr>
        <w:t>A</w:t>
      </w:r>
      <w:r>
        <w:rPr>
          <w:rFonts w:ascii="宋体" w:hAnsi="宋体" w:eastAsia="宋体" w:cs="宋体"/>
          <w:sz w:val="18"/>
          <w:szCs w:val="18"/>
          <w:lang w:val="en-US"/>
        </w:rPr>
        <w:t xml:space="preserve">cademy of </w:t>
      </w:r>
      <w:r>
        <w:rPr>
          <w:rFonts w:ascii="宋体" w:hAnsi="宋体" w:eastAsia="宋体" w:cs="宋体"/>
          <w:b/>
          <w:bCs/>
          <w:color w:val="FF0000"/>
          <w:sz w:val="18"/>
          <w:szCs w:val="18"/>
          <w:u w:color="FF0000"/>
          <w:lang w:val="en-US"/>
        </w:rPr>
        <w:t>M</w:t>
      </w:r>
      <w:r>
        <w:rPr>
          <w:rFonts w:ascii="宋体" w:hAnsi="宋体" w:eastAsia="宋体" w:cs="宋体"/>
          <w:sz w:val="18"/>
          <w:szCs w:val="18"/>
          <w:lang w:val="en-US"/>
        </w:rPr>
        <w:t xml:space="preserve">anagement </w:t>
      </w:r>
      <w:r>
        <w:rPr>
          <w:rFonts w:ascii="宋体" w:hAnsi="宋体" w:eastAsia="宋体" w:cs="宋体"/>
          <w:b/>
          <w:bCs/>
          <w:color w:val="FF0000"/>
          <w:sz w:val="18"/>
          <w:szCs w:val="18"/>
          <w:u w:color="FF0000"/>
          <w:lang w:val="en-US"/>
        </w:rPr>
        <w:t>J</w:t>
      </w:r>
      <w:r>
        <w:rPr>
          <w:rFonts w:ascii="宋体" w:hAnsi="宋体" w:eastAsia="宋体" w:cs="宋体"/>
          <w:sz w:val="18"/>
          <w:szCs w:val="18"/>
          <w:lang w:val="en-US"/>
        </w:rPr>
        <w:t>ournal,2000,43(5).</w:t>
      </w:r>
    </w:p>
    <w:p>
      <w:pPr>
        <w:framePr w:w="0" w:hRule="auto" w:wrap="auto" w:vAnchor="margin" w:hAnchor="text" w:yAlign="inline"/>
        <w:ind w:left="652" w:hanging="270"/>
        <w:rPr>
          <w:rFonts w:ascii="宋体" w:hAnsi="宋体" w:eastAsia="宋体" w:cs="宋体"/>
          <w:sz w:val="18"/>
          <w:szCs w:val="18"/>
        </w:rPr>
      </w:pPr>
      <w:r>
        <w:rPr>
          <w:rFonts w:ascii="宋体" w:hAnsi="宋体" w:eastAsia="宋体" w:cs="宋体"/>
          <w:sz w:val="18"/>
          <w:szCs w:val="18"/>
          <w:lang w:val="en-US"/>
        </w:rPr>
        <w:t>[2]</w:t>
      </w:r>
      <w:r>
        <w:rPr>
          <w:rFonts w:ascii="Times New Roman"/>
          <w:sz w:val="18"/>
          <w:szCs w:val="18"/>
          <w:lang w:val="en-US"/>
        </w:rPr>
        <w:t xml:space="preserve"> </w:t>
      </w:r>
      <w:r>
        <w:rPr>
          <w:rFonts w:ascii="宋体" w:hAnsi="宋体" w:eastAsia="宋体" w:cs="宋体"/>
          <w:sz w:val="18"/>
          <w:szCs w:val="18"/>
          <w:lang w:val="en-US"/>
        </w:rPr>
        <w:t xml:space="preserve">Atul Nerkar, Scott Shane. Determinants of Invention Commercialization: An Empirical Examination of Academically Sourced Inventions [J].Strategic Management Journal, </w:t>
      </w:r>
      <w:commentRangeStart w:id="12"/>
      <w:r>
        <w:rPr>
          <w:rFonts w:ascii="宋体" w:hAnsi="宋体" w:eastAsia="宋体" w:cs="宋体"/>
          <w:sz w:val="18"/>
          <w:szCs w:val="18"/>
          <w:lang w:val="en-US"/>
        </w:rPr>
        <w:t xml:space="preserve">2007, (28). </w:t>
      </w:r>
      <w:commentRangeEnd w:id="12"/>
      <w:r>
        <w:commentReference w:id="12"/>
      </w:r>
    </w:p>
    <w:p>
      <w:pPr>
        <w:framePr w:w="0" w:hRule="auto" w:wrap="auto" w:vAnchor="margin" w:hAnchor="text" w:yAlign="inline"/>
        <w:ind w:left="360" w:firstLine="0"/>
        <w:rPr>
          <w:rFonts w:ascii="宋体" w:hAnsi="宋体" w:eastAsia="宋体" w:cs="宋体"/>
          <w:sz w:val="18"/>
          <w:szCs w:val="18"/>
        </w:rPr>
      </w:pPr>
      <w:r>
        <w:rPr>
          <w:rFonts w:ascii="宋体" w:hAnsi="宋体" w:eastAsia="宋体" w:cs="宋体"/>
          <w:sz w:val="18"/>
          <w:szCs w:val="18"/>
          <w:lang w:val="en-US"/>
        </w:rPr>
        <w:t>[3][</w:t>
      </w:r>
      <w:r>
        <w:rPr>
          <w:rFonts w:ascii="宋体" w:hAnsi="宋体" w:eastAsia="宋体" w:cs="宋体"/>
          <w:sz w:val="18"/>
          <w:szCs w:val="18"/>
          <w:lang w:val="zh-TW" w:eastAsia="zh-TW"/>
        </w:rPr>
        <w:t>美</w:t>
      </w:r>
      <w:r>
        <w:rPr>
          <w:rFonts w:ascii="宋体" w:hAnsi="宋体" w:eastAsia="宋体" w:cs="宋体"/>
          <w:sz w:val="18"/>
          <w:szCs w:val="18"/>
          <w:lang w:val="en-US"/>
        </w:rPr>
        <w:t>]</w:t>
      </w:r>
      <w:r>
        <w:rPr>
          <w:rFonts w:ascii="宋体" w:hAnsi="宋体" w:eastAsia="宋体" w:cs="宋体"/>
          <w:sz w:val="18"/>
          <w:szCs w:val="18"/>
          <w:lang w:val="zh-TW" w:eastAsia="zh-TW"/>
        </w:rPr>
        <w:t>迈克尔</w:t>
      </w:r>
      <w:r>
        <w:rPr>
          <w:rFonts w:ascii="宋体" w:hAnsi="宋体" w:eastAsia="宋体" w:cs="宋体"/>
          <w:sz w:val="18"/>
          <w:szCs w:val="18"/>
          <w:lang w:val="en-US"/>
        </w:rPr>
        <w:t>⋅</w:t>
      </w:r>
      <w:r>
        <w:rPr>
          <w:rFonts w:ascii="宋体" w:hAnsi="宋体" w:eastAsia="宋体" w:cs="宋体"/>
          <w:sz w:val="18"/>
          <w:szCs w:val="18"/>
          <w:lang w:val="zh-TW" w:eastAsia="zh-TW"/>
        </w:rPr>
        <w:t>波特</w:t>
      </w:r>
      <w:r>
        <w:rPr>
          <w:rFonts w:ascii="宋体" w:hAnsi="宋体" w:eastAsia="宋体" w:cs="宋体"/>
          <w:sz w:val="18"/>
          <w:szCs w:val="18"/>
          <w:lang w:val="en-US"/>
        </w:rPr>
        <w:t>.</w:t>
      </w:r>
      <w:r>
        <w:rPr>
          <w:rFonts w:ascii="宋体" w:hAnsi="宋体" w:eastAsia="宋体" w:cs="宋体"/>
          <w:sz w:val="18"/>
          <w:szCs w:val="18"/>
          <w:lang w:val="zh-TW" w:eastAsia="zh-TW"/>
        </w:rPr>
        <w:t>竞争战略</w:t>
      </w:r>
      <w:r>
        <w:rPr>
          <w:rFonts w:ascii="宋体" w:hAnsi="宋体" w:eastAsia="宋体" w:cs="宋体"/>
          <w:sz w:val="18"/>
          <w:szCs w:val="18"/>
          <w:lang w:val="en-US"/>
        </w:rPr>
        <w:t>[M].</w:t>
      </w:r>
      <w:r>
        <w:rPr>
          <w:rFonts w:ascii="宋体" w:hAnsi="宋体" w:eastAsia="宋体" w:cs="宋体"/>
          <w:color w:val="FF0000"/>
          <w:sz w:val="18"/>
          <w:szCs w:val="18"/>
          <w:u w:color="FF0000"/>
          <w:lang w:val="zh-TW" w:eastAsia="zh-TW"/>
        </w:rPr>
        <w:t>陈晓悦译</w:t>
      </w:r>
      <w:r>
        <w:rPr>
          <w:rFonts w:ascii="宋体" w:hAnsi="宋体" w:eastAsia="宋体" w:cs="宋体"/>
          <w:sz w:val="18"/>
          <w:szCs w:val="18"/>
          <w:lang w:val="en-US"/>
        </w:rPr>
        <w:t>.</w:t>
      </w:r>
      <w:r>
        <w:rPr>
          <w:rFonts w:ascii="宋体" w:hAnsi="宋体" w:eastAsia="宋体" w:cs="宋体"/>
          <w:sz w:val="18"/>
          <w:szCs w:val="18"/>
          <w:lang w:val="zh-TW" w:eastAsia="zh-TW"/>
        </w:rPr>
        <w:t>北京：华夏出版社，</w:t>
      </w:r>
      <w:r>
        <w:rPr>
          <w:rFonts w:ascii="宋体" w:hAnsi="宋体" w:eastAsia="宋体" w:cs="宋体"/>
          <w:sz w:val="18"/>
          <w:szCs w:val="18"/>
          <w:lang w:val="en-US"/>
        </w:rPr>
        <w:t>1999.</w:t>
      </w:r>
      <w:r>
        <w:rPr>
          <w:rFonts w:ascii="宋体" w:hAnsi="宋体" w:eastAsia="宋体" w:cs="宋体"/>
          <w:color w:val="FF0000"/>
          <w:sz w:val="18"/>
          <w:szCs w:val="18"/>
          <w:u w:color="FF0000"/>
          <w:lang w:val="zh-TW" w:eastAsia="zh-TW"/>
        </w:rPr>
        <w:t>（译著要有译者）</w:t>
      </w:r>
    </w:p>
    <w:p>
      <w:pPr>
        <w:framePr w:w="0" w:hRule="auto" w:wrap="auto" w:vAnchor="margin" w:hAnchor="text" w:yAlign="inline"/>
        <w:ind w:firstLine="360"/>
        <w:rPr>
          <w:rFonts w:ascii="宋体" w:hAnsi="宋体" w:eastAsia="宋体" w:cs="宋体"/>
          <w:sz w:val="18"/>
          <w:szCs w:val="18"/>
        </w:rPr>
      </w:pPr>
      <w:r>
        <w:rPr>
          <w:rFonts w:ascii="宋体" w:hAnsi="宋体" w:eastAsia="宋体" w:cs="宋体"/>
          <w:sz w:val="18"/>
          <w:szCs w:val="18"/>
          <w:lang w:val="en-US"/>
        </w:rPr>
        <w:t>[4]</w:t>
      </w:r>
      <w:r>
        <w:rPr>
          <w:rFonts w:ascii="宋体" w:hAnsi="宋体" w:eastAsia="宋体" w:cs="宋体"/>
          <w:sz w:val="18"/>
          <w:szCs w:val="18"/>
          <w:lang w:val="zh-TW" w:eastAsia="zh-TW"/>
        </w:rPr>
        <w:t>李京文</w:t>
      </w:r>
      <w:r>
        <w:rPr>
          <w:rFonts w:ascii="宋体" w:hAnsi="宋体" w:eastAsia="宋体" w:cs="宋体"/>
          <w:strike w:val="0"/>
          <w:dstrike/>
          <w:color w:val="FF0000"/>
          <w:sz w:val="18"/>
          <w:szCs w:val="18"/>
          <w:u w:color="FF0000"/>
          <w:lang w:val="zh-TW" w:eastAsia="zh-TW"/>
        </w:rPr>
        <w:t>著</w:t>
      </w:r>
      <w:r>
        <w:rPr>
          <w:rFonts w:ascii="宋体" w:hAnsi="宋体" w:eastAsia="宋体" w:cs="宋体"/>
          <w:sz w:val="18"/>
          <w:szCs w:val="18"/>
          <w:lang w:val="en-US"/>
        </w:rPr>
        <w:t>.</w:t>
      </w:r>
      <w:r>
        <w:rPr>
          <w:rFonts w:ascii="宋体" w:hAnsi="宋体" w:eastAsia="宋体" w:cs="宋体"/>
          <w:sz w:val="18"/>
          <w:szCs w:val="18"/>
          <w:lang w:val="zh-TW" w:eastAsia="zh-TW"/>
        </w:rPr>
        <w:t>技术进步与产业结构选择</w:t>
      </w:r>
      <w:r>
        <w:rPr>
          <w:rFonts w:ascii="宋体" w:hAnsi="宋体" w:eastAsia="宋体" w:cs="宋体"/>
          <w:sz w:val="18"/>
          <w:szCs w:val="18"/>
          <w:lang w:val="en-US"/>
        </w:rPr>
        <w:t>[M].</w:t>
      </w:r>
      <w:r>
        <w:rPr>
          <w:rFonts w:ascii="宋体" w:hAnsi="宋体" w:eastAsia="宋体" w:cs="宋体"/>
          <w:sz w:val="18"/>
          <w:szCs w:val="18"/>
          <w:lang w:val="zh-TW" w:eastAsia="zh-TW"/>
        </w:rPr>
        <w:t>北京：经济科学出版社，</w:t>
      </w:r>
      <w:r>
        <w:rPr>
          <w:rFonts w:ascii="宋体" w:hAnsi="宋体" w:eastAsia="宋体" w:cs="宋体"/>
          <w:sz w:val="18"/>
          <w:szCs w:val="18"/>
          <w:lang w:val="en-US"/>
        </w:rPr>
        <w:t>1998.</w:t>
      </w:r>
    </w:p>
    <w:p>
      <w:pPr>
        <w:framePr w:w="0" w:hRule="auto" w:wrap="auto" w:vAnchor="margin" w:hAnchor="text" w:yAlign="inline"/>
        <w:ind w:left="540" w:firstLine="90"/>
        <w:rPr>
          <w:rFonts w:ascii="宋体" w:hAnsi="宋体" w:eastAsia="宋体" w:cs="宋体"/>
          <w:sz w:val="18"/>
          <w:szCs w:val="18"/>
        </w:rPr>
      </w:pPr>
      <w:r>
        <w:rPr>
          <w:rFonts w:ascii="宋体" w:hAnsi="宋体" w:eastAsia="宋体" w:cs="宋体"/>
          <w:color w:val="FF0000"/>
          <w:sz w:val="18"/>
          <w:szCs w:val="18"/>
          <w:u w:color="FF0000"/>
          <w:lang w:val="zh-TW" w:eastAsia="zh-TW"/>
        </w:rPr>
        <w:t>（人名后不加</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著</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主编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合编</w:t>
      </w:r>
      <w:r>
        <w:rPr>
          <w:rFonts w:ascii="宋体" w:hAnsi="宋体" w:eastAsia="宋体" w:cs="宋体"/>
          <w:color w:val="FF0000"/>
          <w:sz w:val="18"/>
          <w:szCs w:val="18"/>
          <w:u w:color="FF0000"/>
          <w:lang w:val="en-US"/>
        </w:rPr>
        <w:t>”</w:t>
      </w:r>
      <w:r>
        <w:rPr>
          <w:rFonts w:ascii="宋体" w:hAnsi="宋体" w:eastAsia="宋体" w:cs="宋体"/>
          <w:color w:val="FF0000"/>
          <w:sz w:val="18"/>
          <w:szCs w:val="18"/>
          <w:u w:color="FF0000"/>
          <w:lang w:val="zh-TW" w:eastAsia="zh-TW"/>
        </w:rPr>
        <w:t>）</w:t>
      </w:r>
      <w:r>
        <w:rPr>
          <w:rFonts w:ascii="宋体" w:hAnsi="宋体" w:eastAsia="宋体" w:cs="宋体"/>
          <w:sz w:val="18"/>
          <w:szCs w:val="18"/>
        </w:rPr>
        <w:br w:type="textWrapping"/>
      </w:r>
      <w:commentRangeStart w:id="13"/>
    </w:p>
    <w:p>
      <w:pPr>
        <w:framePr w:w="0" w:hRule="auto" w:wrap="auto" w:vAnchor="margin" w:hAnchor="text" w:yAlign="inline"/>
        <w:spacing w:line="360" w:lineRule="auto"/>
        <w:ind w:firstLine="413"/>
      </w:pPr>
      <w:r>
        <w:rPr>
          <w:rFonts w:ascii="宋体" w:hAnsi="宋体" w:eastAsia="宋体" w:cs="宋体"/>
          <w:b/>
          <w:bCs/>
          <w:color w:val="000000"/>
          <w:sz w:val="28"/>
          <w:szCs w:val="28"/>
          <w:u w:color="000000"/>
          <w:lang w:val="zh-TW" w:eastAsia="zh-TW"/>
        </w:rPr>
        <w:t>即时联系方式</w:t>
      </w:r>
      <w:commentRangeEnd w:id="13"/>
      <w:r>
        <w:commentReference w:id="13"/>
      </w:r>
      <w:r>
        <w:rPr>
          <w:rFonts w:ascii="宋体" w:hAnsi="宋体" w:eastAsia="宋体" w:cs="宋体"/>
          <w:b/>
          <w:bCs/>
          <w:color w:val="000000"/>
          <w:sz w:val="28"/>
          <w:szCs w:val="28"/>
          <w:u w:color="000000"/>
          <w:lang w:val="en-US"/>
        </w:rPr>
        <w:t>:</w:t>
      </w:r>
      <w:r>
        <w:rPr>
          <w:rFonts w:ascii="宋体" w:hAnsi="宋体" w:eastAsia="宋体" w:cs="宋体"/>
          <w:b/>
          <w:bCs/>
          <w:color w:val="000000"/>
          <w:sz w:val="28"/>
          <w:szCs w:val="28"/>
          <w:u w:color="000000"/>
          <w:lang w:val="zh-TW" w:eastAsia="zh-TW"/>
        </w:rPr>
        <w:t xml:space="preserve">手机  </w:t>
      </w:r>
      <w:r>
        <w:rPr>
          <w:rFonts w:ascii="宋体" w:hAnsi="宋体" w:eastAsia="宋体" w:cs="宋体"/>
          <w:b/>
          <w:bCs/>
          <w:color w:val="FF0000"/>
          <w:sz w:val="28"/>
          <w:szCs w:val="28"/>
          <w:u w:color="FF0000"/>
          <w:lang w:val="en-US"/>
        </w:rPr>
        <w:t xml:space="preserve">              </w:t>
      </w:r>
    </w:p>
    <w:sectPr>
      <w:headerReference r:id="rId5" w:type="default"/>
      <w:footerReference r:id="rId6" w:type="default"/>
      <w:pgSz w:w="11900" w:h="16840"/>
      <w:pgMar w:top="1440" w:right="1274" w:bottom="1440" w:left="1560" w:header="851" w:footer="9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KYFREE" w:date="2013-09-05T08:05: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宋体，二号字，居中</w:t>
      </w:r>
    </w:p>
  </w:comment>
  <w:comment w:id="1"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到二级单位，与作者简介一致</w:t>
      </w:r>
    </w:p>
  </w:comment>
  <w:comment w:id="2" w:author="think"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非直辖市加省名</w:t>
      </w:r>
    </w:p>
  </w:comment>
  <w:comment w:id="3"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文中参考文献标注，应与文后参考文献在作者</w:t>
      </w:r>
      <w:r>
        <w:rPr>
          <w:rFonts w:ascii="Helvetica" w:hAnsi="Arial Unicode MS" w:eastAsia="Arial Unicode MS" w:cs="Arial Unicode MS"/>
        </w:rPr>
        <w:t>(</w:t>
      </w:r>
      <w:r>
        <w:rPr>
          <w:rFonts w:hint="eastAsia" w:ascii="Arial Unicode MS" w:hAnsi="Arial Unicode MS" w:eastAsia="Helvetica" w:cs="Arial Unicode MS"/>
        </w:rPr>
        <w:t>含拼写</w:t>
      </w:r>
      <w:r>
        <w:rPr>
          <w:rFonts w:ascii="Helvetica" w:hAnsi="Arial Unicode MS" w:eastAsia="Arial Unicode MS" w:cs="Arial Unicode MS"/>
        </w:rPr>
        <w:t>)</w:t>
      </w:r>
      <w:r>
        <w:rPr>
          <w:rFonts w:hint="eastAsia" w:ascii="Arial Unicode MS" w:hAnsi="Arial Unicode MS" w:eastAsia="Helvetica" w:cs="Arial Unicode MS"/>
        </w:rPr>
        <w:t>、年份上保持一致；英文参考文献按出现次序一 一对应在前</w:t>
      </w:r>
      <w:r>
        <w:rPr>
          <w:rFonts w:ascii="Helvetica" w:hAnsi="Arial Unicode MS" w:eastAsia="Arial Unicode MS" w:cs="Arial Unicode MS"/>
        </w:rPr>
        <w:t>,</w:t>
      </w:r>
      <w:r>
        <w:rPr>
          <w:rFonts w:hint="eastAsia" w:ascii="Arial Unicode MS" w:hAnsi="Arial Unicode MS" w:eastAsia="Helvetica" w:cs="Arial Unicode MS"/>
        </w:rPr>
        <w:t>中文参考文献按出现顺序一 一对应在后。</w:t>
      </w:r>
    </w:p>
  </w:comment>
  <w:comment w:id="4"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两个作者，必须全部列示，作者之间用逗号隔开。</w:t>
      </w:r>
    </w:p>
  </w:comment>
  <w:comment w:id="5"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三个作者及以上，只列示首作者，其他用</w:t>
      </w:r>
      <w:r>
        <w:rPr>
          <w:rFonts w:hint="default" w:ascii="Arial Unicode MS" w:hAnsi="Helvetica" w:eastAsia="Arial Unicode MS" w:cs="Arial Unicode MS"/>
        </w:rPr>
        <w:t>“</w:t>
      </w:r>
      <w:r>
        <w:rPr>
          <w:rFonts w:hint="eastAsia" w:ascii="Arial Unicode MS" w:hAnsi="Arial Unicode MS" w:eastAsia="Helvetica" w:cs="Arial Unicode MS"/>
        </w:rPr>
        <w:t>等</w:t>
      </w:r>
      <w:r>
        <w:rPr>
          <w:rFonts w:hint="default" w:ascii="Arial Unicode MS" w:hAnsi="Helvetica" w:eastAsia="Arial Unicode MS" w:cs="Arial Unicode MS"/>
        </w:rPr>
        <w:t>”</w:t>
      </w:r>
      <w:r>
        <w:rPr>
          <w:rFonts w:ascii="Helvetica" w:hAnsi="Arial Unicode MS" w:eastAsia="Arial Unicode MS" w:cs="Arial Unicode MS"/>
        </w:rPr>
        <w:t>(</w:t>
      </w:r>
      <w:r>
        <w:rPr>
          <w:rFonts w:hint="eastAsia" w:ascii="Arial Unicode MS" w:hAnsi="Arial Unicode MS" w:eastAsia="Helvetica" w:cs="Arial Unicode MS"/>
        </w:rPr>
        <w:t>英文用</w:t>
      </w:r>
      <w:r>
        <w:rPr>
          <w:rFonts w:ascii="Helvetica" w:hAnsi="Arial Unicode MS" w:eastAsia="Arial Unicode MS" w:cs="Arial Unicode MS"/>
        </w:rPr>
        <w:t>et al.)</w:t>
      </w:r>
      <w:r>
        <w:rPr>
          <w:rFonts w:hint="eastAsia" w:ascii="Arial Unicode MS" w:hAnsi="Arial Unicode MS" w:eastAsia="Helvetica" w:cs="Arial Unicode MS"/>
        </w:rPr>
        <w:t>替代。</w:t>
      </w:r>
    </w:p>
  </w:comment>
  <w:comment w:id="6" w:author="think"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两个作者的情况，括号外用和（</w:t>
      </w:r>
      <w:r>
        <w:rPr>
          <w:rFonts w:ascii="Helvetica" w:hAnsi="Arial Unicode MS" w:eastAsia="Arial Unicode MS" w:cs="Arial Unicode MS"/>
        </w:rPr>
        <w:t>and</w:t>
      </w:r>
      <w:r>
        <w:rPr>
          <w:rFonts w:hint="eastAsia" w:ascii="Arial Unicode MS" w:hAnsi="Arial Unicode MS" w:eastAsia="Helvetica" w:cs="Arial Unicode MS"/>
        </w:rPr>
        <w:t>）连接，括号内用逗号连接。</w:t>
      </w:r>
    </w:p>
  </w:comment>
  <w:comment w:id="7" w:author="Lenovo User" w:date="2013-03-25T10:51:00Z" w:initials="">
    <w:p>
      <w:pPr>
        <w:pStyle w:val="10"/>
        <w:framePr w:w="0" w:hRule="auto" w:wrap="auto" w:vAnchor="margin" w:hAnchor="text" w:yAlign="inline"/>
        <w:bidi w:val="0"/>
      </w:pPr>
      <w:r>
        <w:rPr>
          <w:rFonts w:hint="eastAsia" w:ascii="Arial Unicode MS" w:hAnsi="Arial Unicode MS" w:eastAsia="Helvetica" w:cs="Arial Unicode MS"/>
          <w:lang w:val="zh-CN" w:eastAsia="zh-CN"/>
        </w:rPr>
        <w:t>三线表，两边开口，小数点后位数保持一致，单位不在表内容中出现。</w:t>
      </w:r>
    </w:p>
    <w:p>
      <w:pPr>
        <w:pStyle w:val="10"/>
        <w:framePr w:w="0" w:hRule="auto" w:wrap="auto" w:vAnchor="margin" w:hAnchor="text" w:yAlign="inline"/>
        <w:bidi w:val="0"/>
      </w:pPr>
    </w:p>
    <w:p>
      <w:pPr>
        <w:pStyle w:val="10"/>
        <w:framePr w:w="0" w:hRule="auto" w:wrap="auto" w:vAnchor="margin" w:hAnchor="text" w:yAlign="inline"/>
        <w:bidi w:val="0"/>
      </w:pPr>
      <w:r>
        <w:rPr>
          <w:rFonts w:ascii="Helvetica" w:hAnsi="Arial Unicode MS" w:eastAsia="Arial Unicode MS" w:cs="Arial Unicode MS"/>
        </w:rPr>
        <w:t>Lenovo User</w:t>
      </w:r>
    </w:p>
    <w:p>
      <w:pPr>
        <w:pStyle w:val="10"/>
        <w:framePr w:w="0" w:hRule="auto" w:wrap="auto" w:vAnchor="margin" w:hAnchor="text" w:yAlign="inline"/>
        <w:bidi w:val="0"/>
      </w:pPr>
      <w:r>
        <w:rPr>
          <w:rFonts w:hint="eastAsia" w:ascii="Arial Unicode MS" w:hAnsi="Arial Unicode MS" w:eastAsia="Helvetica" w:cs="Arial Unicode MS"/>
          <w:lang w:val="zh-CN" w:eastAsia="zh-CN"/>
        </w:rPr>
        <w:t>单位符号在此处体现</w:t>
      </w:r>
    </w:p>
  </w:comment>
  <w:comment w:id="8" w:author="Lenovo User" w:date="2013-03-25T10:51:00Z" w:initials="">
    <w:p>
      <w:pPr>
        <w:pStyle w:val="10"/>
        <w:framePr w:w="0" w:hRule="auto" w:wrap="auto" w:vAnchor="margin" w:hAnchor="text" w:yAlign="inline"/>
        <w:bidi w:val="0"/>
      </w:pPr>
      <w:r>
        <w:rPr>
          <w:rFonts w:hint="eastAsia" w:ascii="Arial Unicode MS" w:hAnsi="Arial Unicode MS" w:eastAsia="Helvetica" w:cs="Arial Unicode MS"/>
          <w:lang w:val="zh-CN" w:eastAsia="zh-CN"/>
        </w:rPr>
        <w:t>其他单位在此处体现</w:t>
      </w:r>
    </w:p>
  </w:comment>
  <w:comment w:id="9" w:author="think" w:date="2013-03-25T10:51:00Z" w:initials="">
    <w:p>
      <w:pPr>
        <w:pStyle w:val="10"/>
        <w:framePr w:w="0" w:hRule="auto" w:wrap="auto" w:vAnchor="margin" w:hAnchor="text" w:yAlign="inline"/>
        <w:bidi w:val="0"/>
      </w:pPr>
      <w:r>
        <w:rPr>
          <w:rFonts w:hint="eastAsia" w:ascii="Arial Unicode MS" w:hAnsi="Arial Unicode MS" w:eastAsia="Helvetica" w:cs="Arial Unicode MS"/>
          <w:lang w:val="zh-TW" w:eastAsia="zh-TW"/>
        </w:rPr>
        <w:t>用中文表述</w:t>
      </w:r>
    </w:p>
  </w:comment>
  <w:comment w:id="10" w:author="Lenovo User" w:date="2013-09-04T12:00: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图名称五号黑体，若有图例，按下图格式排版</w:t>
      </w:r>
    </w:p>
  </w:comment>
  <w:comment w:id="11"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注意，首字母一律大写</w:t>
      </w:r>
    </w:p>
  </w:comment>
  <w:comment w:id="12"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所有参考文献不需要列示页码，但是，期刊需要列示期数</w:t>
      </w:r>
    </w:p>
  </w:comment>
  <w:comment w:id="13" w:author="Lenovo User" w:date="2013-03-25T10:51:00Z" w:initials="">
    <w:p>
      <w:pPr>
        <w:pStyle w:val="10"/>
        <w:framePr w:w="0" w:hRule="auto" w:wrap="auto" w:vAnchor="margin" w:hAnchor="text" w:yAlign="inline"/>
        <w:bidi w:val="0"/>
      </w:pPr>
    </w:p>
    <w:p>
      <w:pPr>
        <w:pStyle w:val="10"/>
        <w:framePr w:w="0" w:hRule="auto" w:wrap="auto" w:vAnchor="margin" w:hAnchor="text" w:yAlign="inline"/>
        <w:bidi w:val="0"/>
      </w:pPr>
      <w:r>
        <w:rPr>
          <w:rFonts w:hint="eastAsia" w:ascii="Arial Unicode MS" w:hAnsi="Arial Unicode MS" w:eastAsia="Helvetica" w:cs="Arial Unicode MS"/>
        </w:rPr>
        <w:t>必须填写</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roman"/>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hRule="auto" w:wrap="auto" w:vAnchor="margin" w:hAnchor="text" w:yAlign="inline"/>
      <w:jc w:val="right"/>
    </w:pP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framePr w:w="0" w:hRule="auto" w:wrap="auto" w:vAnchor="margin" w:hAnchor="text" w:yAlign="inline"/>
        <w:ind w:firstLine="420"/>
        <w:rPr>
          <w:sz w:val="18"/>
          <w:szCs w:val="18"/>
        </w:rPr>
      </w:pPr>
      <w:r>
        <w:rPr>
          <w:rFonts w:ascii="黑体" w:hAnsi="黑体" w:eastAsia="黑体" w:cs="黑体"/>
          <w:b/>
          <w:bCs/>
          <w:sz w:val="18"/>
          <w:szCs w:val="18"/>
          <w:lang w:val="en-US"/>
        </w:rPr>
        <w:t>[</w:t>
      </w:r>
      <w:r>
        <w:rPr>
          <w:rFonts w:ascii="黑体" w:hAnsi="黑体" w:eastAsia="黑体" w:cs="黑体"/>
          <w:b/>
          <w:bCs/>
          <w:sz w:val="18"/>
          <w:szCs w:val="18"/>
          <w:lang w:val="zh-TW" w:eastAsia="zh-TW"/>
        </w:rPr>
        <w:t>收稿日期</w:t>
      </w:r>
      <w:r>
        <w:rPr>
          <w:rFonts w:ascii="黑体" w:hAnsi="黑体" w:eastAsia="黑体" w:cs="黑体"/>
          <w:b/>
          <w:bCs/>
          <w:color w:val="FF0000"/>
          <w:sz w:val="18"/>
          <w:szCs w:val="18"/>
          <w:u w:color="FF0000"/>
          <w:lang w:val="zh-TW" w:eastAsia="zh-TW"/>
        </w:rPr>
        <w:t>（黑体，小五）</w:t>
      </w:r>
      <w:r>
        <w:rPr>
          <w:rFonts w:ascii="黑体" w:hAnsi="黑体" w:eastAsia="黑体" w:cs="黑体"/>
          <w:b/>
          <w:bCs/>
          <w:sz w:val="18"/>
          <w:szCs w:val="18"/>
          <w:lang w:val="en-US"/>
        </w:rPr>
        <w:t xml:space="preserve">] </w:t>
      </w:r>
      <w:r>
        <w:rPr>
          <w:rFonts w:ascii="宋体" w:hAnsi="宋体" w:eastAsia="宋体" w:cs="宋体"/>
          <w:sz w:val="18"/>
          <w:szCs w:val="18"/>
          <w:lang w:val="en-US"/>
        </w:rPr>
        <w:t>2013-</w:t>
      </w:r>
      <w:r>
        <w:rPr>
          <w:rFonts w:ascii="宋体" w:hAnsi="宋体" w:eastAsia="宋体" w:cs="宋体"/>
          <w:color w:val="FF0000"/>
          <w:sz w:val="18"/>
          <w:szCs w:val="18"/>
          <w:u w:color="FF0000"/>
          <w:lang w:val="zh-TW" w:eastAsia="zh-TW"/>
        </w:rPr>
        <w:t>（宋体，小五）</w:t>
      </w:r>
    </w:p>
    <w:p>
      <w:pPr>
        <w:pStyle w:val="3"/>
        <w:framePr w:w="0" w:hRule="auto" w:wrap="auto" w:vAnchor="margin" w:hAnchor="text" w:yAlign="inline"/>
        <w:ind w:left="793" w:hanging="354"/>
        <w:rPr>
          <w:rFonts w:ascii="Verdana" w:hAnsi="Verdana" w:eastAsia="Verdana" w:cs="Verdana"/>
        </w:rPr>
      </w:pPr>
      <w:r>
        <w:rPr>
          <w:rFonts w:ascii="黑体" w:hAnsi="黑体" w:eastAsia="黑体" w:cs="黑体"/>
          <w:b/>
          <w:bCs/>
          <w:lang w:val="en-US"/>
        </w:rPr>
        <w:t>[</w:t>
      </w:r>
      <w:r>
        <w:rPr>
          <w:rFonts w:ascii="黑体" w:hAnsi="黑体" w:eastAsia="黑体" w:cs="黑体"/>
          <w:b/>
          <w:bCs/>
          <w:lang w:val="zh-TW" w:eastAsia="zh-TW"/>
        </w:rPr>
        <w:t>作者简介</w:t>
      </w:r>
      <w:r>
        <w:rPr>
          <w:rFonts w:ascii="黑体" w:hAnsi="黑体" w:eastAsia="黑体" w:cs="黑体"/>
          <w:b/>
          <w:bCs/>
          <w:lang w:val="en-US"/>
        </w:rPr>
        <w:t>]</w:t>
      </w:r>
      <w:r>
        <w:rPr>
          <w:rFonts w:ascii="黑体" w:hAnsi="黑体" w:eastAsia="黑体" w:cs="黑体"/>
          <w:b/>
          <w:bCs/>
          <w:color w:val="FF0000"/>
          <w:u w:color="FF0000"/>
          <w:lang w:val="zh-TW" w:eastAsia="zh-TW"/>
        </w:rPr>
        <w:t>（此处作者单位信息与标题下作者单位信息一</w:t>
      </w:r>
      <w:r>
        <w:rPr>
          <w:rFonts w:ascii="黑体" w:hAnsi="黑体" w:eastAsia="黑体" w:cs="黑体"/>
          <w:b/>
          <w:bCs/>
          <w:color w:val="FF0000"/>
          <w:u w:color="FF0000"/>
          <w:lang w:val="en-US"/>
        </w:rPr>
        <w:t xml:space="preserve"> </w:t>
      </w:r>
      <w:r>
        <w:rPr>
          <w:rFonts w:ascii="黑体" w:hAnsi="黑体" w:eastAsia="黑体" w:cs="黑体"/>
          <w:b/>
          <w:bCs/>
          <w:color w:val="FF0000"/>
          <w:u w:color="FF0000"/>
          <w:lang w:val="zh-TW" w:eastAsia="zh-TW"/>
        </w:rPr>
        <w:t>一对应）</w:t>
      </w:r>
      <w:r>
        <w:rPr>
          <w:rFonts w:ascii="宋体" w:hAnsi="宋体" w:eastAsia="宋体" w:cs="宋体"/>
          <w:lang w:val="zh-TW" w:eastAsia="zh-TW"/>
        </w:rPr>
        <w:t>赵晶（</w:t>
      </w:r>
      <w:r>
        <w:rPr>
          <w:rFonts w:ascii="Verdana"/>
          <w:lang w:val="en-US"/>
        </w:rPr>
        <w:t>1976</w:t>
      </w:r>
      <w:r>
        <w:rPr>
          <w:rFonts w:hint="default" w:hAnsi="Verdana"/>
          <w:lang w:val="en-US"/>
        </w:rPr>
        <w:t>—</w:t>
      </w:r>
      <w:r>
        <w:rPr>
          <w:rFonts w:ascii="宋体" w:hAnsi="宋体" w:eastAsia="宋体" w:cs="宋体"/>
          <w:lang w:val="zh-TW" w:eastAsia="zh-TW"/>
        </w:rPr>
        <w:t>），女，辽宁沈阳人，清</w:t>
      </w:r>
    </w:p>
    <w:p>
      <w:pPr>
        <w:pStyle w:val="3"/>
        <w:framePr w:w="0" w:hRule="auto" w:wrap="auto" w:vAnchor="margin" w:hAnchor="text" w:yAlign="inline"/>
        <w:ind w:left="792" w:hanging="353"/>
        <w:rPr>
          <w:rFonts w:ascii="宋体" w:hAnsi="宋体" w:eastAsia="宋体" w:cs="宋体"/>
          <w:lang w:val="zh-TW" w:eastAsia="zh-TW"/>
        </w:rPr>
      </w:pPr>
      <w:r>
        <w:rPr>
          <w:rFonts w:ascii="宋体" w:hAnsi="宋体" w:eastAsia="宋体" w:cs="宋体"/>
          <w:lang w:val="zh-TW" w:eastAsia="zh-TW"/>
        </w:rPr>
        <w:t>华大学经济管理学院博士后，辽宁大学工商管理学院副教授；</w:t>
      </w:r>
      <w:bookmarkStart w:id="0" w:name="_GoBack"/>
      <w:bookmarkEnd w:id="0"/>
      <w:r>
        <w:rPr>
          <w:rFonts w:ascii="宋体" w:hAnsi="宋体" w:eastAsia="宋体" w:cs="宋体"/>
          <w:lang w:val="zh-TW" w:eastAsia="zh-TW"/>
        </w:rPr>
        <w:t>仝允桓</w:t>
      </w:r>
      <w:r>
        <w:rPr>
          <w:lang w:val="en-US"/>
        </w:rPr>
        <w:t>(1950</w:t>
      </w:r>
      <w:r>
        <w:rPr>
          <w:rFonts w:hint="default" w:hAnsi="Times New Roman"/>
          <w:lang w:val="en-US"/>
        </w:rPr>
        <w:t>—</w:t>
      </w:r>
      <w:r>
        <w:rPr>
          <w:lang w:val="en-US"/>
        </w:rPr>
        <w:t>)</w:t>
      </w:r>
      <w:r>
        <w:rPr>
          <w:rFonts w:ascii="宋体" w:hAnsi="宋体" w:eastAsia="宋体" w:cs="宋体"/>
          <w:lang w:val="zh-TW" w:eastAsia="zh-TW"/>
        </w:rPr>
        <w:t>，男，河南南阳人</w:t>
      </w:r>
      <w:r>
        <w:rPr>
          <w:lang w:val="en-US"/>
        </w:rPr>
        <w:t>,</w:t>
      </w:r>
      <w:r>
        <w:rPr>
          <w:rFonts w:ascii="宋体" w:hAnsi="宋体" w:eastAsia="宋体" w:cs="宋体"/>
          <w:lang w:val="zh-TW" w:eastAsia="zh-TW"/>
        </w:rPr>
        <w:t>清华大学经济管理学院副院长，教授，博士生导师。</w:t>
      </w:r>
    </w:p>
    <w:p>
      <w:pPr>
        <w:framePr w:w="0" w:hRule="auto" w:wrap="auto" w:vAnchor="margin" w:hAnchor="text" w:yAlign="inline"/>
        <w:ind w:left="1680" w:hanging="1260"/>
      </w:pPr>
      <w:r>
        <w:rPr>
          <w:rFonts w:hint="default" w:hAnsi="Times New Roman"/>
          <w:vertAlign w:val="superscript"/>
          <w:lang w:val="en-US"/>
        </w:rPr>
        <w:t>①</w:t>
      </w:r>
      <w:r>
        <w:rPr>
          <w:rFonts w:ascii="Times New Roman"/>
          <w:lang w:val="en-US"/>
        </w:rPr>
        <w:t xml:space="preserve"> </w:t>
      </w:r>
      <w:r>
        <w:rPr>
          <w:rFonts w:ascii="宋体" w:hAnsi="宋体" w:eastAsia="宋体" w:cs="宋体"/>
          <w:sz w:val="18"/>
          <w:szCs w:val="18"/>
          <w:lang w:val="zh-TW" w:eastAsia="zh-TW"/>
        </w:rPr>
        <w:t>（注释）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1CCA684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eastAsia="en-US" w:bidi="ar-SA"/>
    </w:rPr>
  </w:style>
  <w:style w:type="character" w:default="1" w:styleId="4">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paragraph" w:styleId="3">
    <w:name w:val="footnote tex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Arial Unicode MS" w:eastAsia="Arial Unicode MS" w:cs="Arial Unicode MS"/>
      <w:color w:val="000000"/>
      <w:spacing w:val="0"/>
      <w:w w:val="100"/>
      <w:kern w:val="2"/>
      <w:position w:val="0"/>
      <w:sz w:val="18"/>
      <w:szCs w:val="18"/>
      <w:u w:val="none" w:color="000000"/>
      <w:vertAlign w:val="baseline"/>
      <w:lang w:val="en-US"/>
    </w:rPr>
  </w:style>
  <w:style w:type="character" w:styleId="5">
    <w:name w:val="Hyperlink"/>
    <w:qFormat/>
    <w:uiPriority w:val="0"/>
    <w:rPr>
      <w:u w:val="single"/>
    </w:rPr>
  </w:style>
  <w:style w:type="table" w:customStyle="1" w:styleId="7">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 w:type="paragraph" w:customStyle="1" w:styleId="9">
    <w:name w:val="List Paragraph"/>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Times New Roman" w:hAnsi="Times New Roman" w:eastAsia="Times New Roman" w:cs="Times New Roman"/>
      <w:color w:val="000000"/>
      <w:spacing w:val="0"/>
      <w:w w:val="100"/>
      <w:kern w:val="2"/>
      <w:position w:val="0"/>
      <w:sz w:val="21"/>
      <w:szCs w:val="21"/>
      <w:u w:val="none" w:color="000000"/>
      <w:vertAlign w:val="baseline"/>
      <w:lang w:val="en-US"/>
    </w:rPr>
  </w:style>
  <w:style w:type="paragraph" w:customStyle="1" w:styleId="10">
    <w:name w:val="默认"/>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2"/>
      <w:szCs w:val="22"/>
      <w:u w:val="none" w:color="auto"/>
      <w:vertAlign w:val="baseline"/>
    </w:rPr>
  </w:style>
  <w:style w:type="paragraph" w:customStyle="1" w:styleId="11">
    <w:name w:val="表名"/>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20" w:beforeAutospacing="0" w:after="120" w:afterAutospacing="0" w:line="240" w:lineRule="auto"/>
      <w:ind w:left="0" w:right="0" w:firstLine="0"/>
      <w:jc w:val="center"/>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2016-10-07T01:13:25Z</dcterms:created>
  <dc:creator>user</dc:creator>
  <cp:lastModifiedBy>user</cp:lastModifiedBy>
  <dcterms:modified xsi:type="dcterms:W3CDTF">2016-10-07T01:14:19Z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